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distribute"/>
        <w:rPr>
          <w:rFonts w:ascii="方正黑体_GBK" w:hAnsi="宋体" w:eastAsia="方正黑体_GBK"/>
          <w:color w:val="auto"/>
          <w:spacing w:val="20"/>
          <w:sz w:val="112"/>
          <w:szCs w:val="112"/>
          <w:highlight w:val="none"/>
        </w:rPr>
      </w:pPr>
    </w:p>
    <w:p>
      <w:pPr>
        <w:jc w:val="distribute"/>
        <w:rPr>
          <w:rFonts w:ascii="方正黑体_GBK" w:hAnsi="宋体" w:eastAsia="方正黑体_GBK"/>
          <w:color w:val="auto"/>
          <w:spacing w:val="20"/>
          <w:sz w:val="112"/>
          <w:szCs w:val="112"/>
          <w:highlight w:val="none"/>
        </w:rPr>
      </w:pPr>
      <w:r>
        <w:rPr>
          <w:rFonts w:hint="eastAsia" w:ascii="方正黑体_GBK" w:hAnsi="宋体" w:eastAsia="方正黑体_GBK"/>
          <w:color w:val="auto"/>
          <w:spacing w:val="20"/>
          <w:sz w:val="112"/>
          <w:szCs w:val="112"/>
          <w:highlight w:val="none"/>
          <w:lang w:eastAsia="zh-CN"/>
        </w:rPr>
        <w:t>竞争性磋商</w:t>
      </w:r>
      <w:r>
        <w:rPr>
          <w:rFonts w:hint="eastAsia" w:ascii="方正黑体_GBK" w:hAnsi="宋体" w:eastAsia="方正黑体_GBK"/>
          <w:color w:val="auto"/>
          <w:spacing w:val="20"/>
          <w:sz w:val="112"/>
          <w:szCs w:val="112"/>
          <w:highlight w:val="none"/>
        </w:rPr>
        <w:t>文件</w:t>
      </w: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spacing w:line="520" w:lineRule="exact"/>
        <w:jc w:val="left"/>
        <w:rPr>
          <w:rFonts w:ascii="方正仿宋_GBK" w:hAnsi="宋体" w:eastAsia="仿宋"/>
          <w:b/>
          <w:color w:val="auto"/>
          <w:sz w:val="36"/>
          <w:szCs w:val="30"/>
          <w:highlight w:val="none"/>
        </w:rPr>
      </w:pPr>
    </w:p>
    <w:p>
      <w:pPr>
        <w:ind w:left="3040" w:leftChars="600" w:hanging="1600" w:hangingChars="500"/>
        <w:jc w:val="left"/>
        <w:rPr>
          <w:rFonts w:hint="eastAsia" w:ascii="方正仿宋_GBK" w:hAnsi="宋体" w:eastAsia="仿宋"/>
          <w:b/>
          <w:color w:val="auto"/>
          <w:sz w:val="32"/>
          <w:szCs w:val="28"/>
          <w:highlight w:val="none"/>
          <w:lang w:val="en-US" w:eastAsia="zh-CN"/>
        </w:rPr>
      </w:pPr>
      <w:r>
        <w:rPr>
          <w:rFonts w:hint="eastAsia" w:ascii="方正仿宋_GBK" w:hAnsi="宋体" w:eastAsia="仿宋"/>
          <w:b/>
          <w:color w:val="auto"/>
          <w:sz w:val="32"/>
          <w:szCs w:val="28"/>
          <w:highlight w:val="none"/>
        </w:rPr>
        <w:t xml:space="preserve">项 目 号：BNQHXYY2024011 </w:t>
      </w:r>
    </w:p>
    <w:p>
      <w:pPr>
        <w:ind w:left="3040" w:leftChars="600" w:hanging="1600" w:hangingChars="500"/>
        <w:jc w:val="left"/>
        <w:rPr>
          <w:rFonts w:hint="eastAsia" w:ascii="方正仿宋_GBK" w:hAnsi="宋体" w:eastAsia="仿宋"/>
          <w:b/>
          <w:color w:val="auto"/>
          <w:sz w:val="32"/>
          <w:szCs w:val="28"/>
          <w:highlight w:val="none"/>
          <w:lang w:eastAsia="zh-CN"/>
        </w:rPr>
      </w:pPr>
      <w:r>
        <w:rPr>
          <w:rFonts w:hint="eastAsia" w:ascii="方正仿宋_GBK" w:hAnsi="宋体" w:eastAsia="仿宋"/>
          <w:b/>
          <w:color w:val="auto"/>
          <w:sz w:val="32"/>
          <w:szCs w:val="28"/>
          <w:highlight w:val="none"/>
        </w:rPr>
        <w:t>项目名称：重庆市巴南区第二人民医院</w:t>
      </w:r>
      <w:r>
        <w:rPr>
          <w:rFonts w:hint="eastAsia" w:ascii="方正仿宋_GBK" w:hAnsi="宋体" w:eastAsia="仿宋"/>
          <w:b/>
          <w:color w:val="auto"/>
          <w:sz w:val="32"/>
          <w:szCs w:val="28"/>
          <w:highlight w:val="none"/>
          <w:lang w:eastAsia="zh-CN"/>
        </w:rPr>
        <w:t>国家基本公共卫生健康体检</w:t>
      </w:r>
      <w:r>
        <w:rPr>
          <w:rFonts w:hint="eastAsia" w:ascii="方正仿宋_GBK" w:hAnsi="宋体" w:eastAsia="仿宋"/>
          <w:b/>
          <w:color w:val="auto"/>
          <w:sz w:val="32"/>
          <w:szCs w:val="28"/>
          <w:highlight w:val="none"/>
        </w:rPr>
        <w:t>系统项目</w:t>
      </w:r>
    </w:p>
    <w:p>
      <w:pPr>
        <w:spacing w:line="520" w:lineRule="exact"/>
        <w:jc w:val="left"/>
        <w:rPr>
          <w:rFonts w:ascii="方正仿宋_GBK" w:hAnsi="宋体" w:eastAsia="仿宋"/>
          <w:b/>
          <w:color w:val="auto"/>
          <w:sz w:val="32"/>
          <w:szCs w:val="28"/>
          <w:highlight w:val="none"/>
        </w:rPr>
      </w:pPr>
    </w:p>
    <w:p>
      <w:pPr>
        <w:spacing w:line="520" w:lineRule="exact"/>
        <w:jc w:val="left"/>
        <w:rPr>
          <w:rFonts w:ascii="方正仿宋_GBK" w:hAnsi="宋体" w:eastAsia="仿宋"/>
          <w:b/>
          <w:color w:val="auto"/>
          <w:sz w:val="32"/>
          <w:szCs w:val="28"/>
          <w:highlight w:val="none"/>
        </w:rPr>
      </w:pPr>
    </w:p>
    <w:p>
      <w:pPr>
        <w:pStyle w:val="22"/>
        <w:rPr>
          <w:color w:val="auto"/>
          <w:sz w:val="22"/>
          <w:szCs w:val="18"/>
          <w:highlight w:val="none"/>
        </w:rPr>
      </w:pPr>
    </w:p>
    <w:p>
      <w:pPr>
        <w:spacing w:line="520" w:lineRule="exact"/>
        <w:jc w:val="left"/>
        <w:rPr>
          <w:rFonts w:ascii="方正仿宋_GBK" w:hAnsi="宋体" w:eastAsia="仿宋"/>
          <w:b/>
          <w:color w:val="auto"/>
          <w:sz w:val="32"/>
          <w:szCs w:val="28"/>
          <w:highlight w:val="none"/>
        </w:rPr>
      </w:pPr>
    </w:p>
    <w:p>
      <w:pPr>
        <w:ind w:left="3680" w:leftChars="600" w:hanging="2240" w:hangingChars="700"/>
        <w:jc w:val="left"/>
        <w:rPr>
          <w:rFonts w:ascii="方正仿宋_GBK" w:hAnsi="宋体" w:eastAsia="仿宋"/>
          <w:b/>
          <w:color w:val="auto"/>
          <w:sz w:val="32"/>
          <w:szCs w:val="28"/>
          <w:highlight w:val="none"/>
        </w:rPr>
      </w:pPr>
      <w:r>
        <w:rPr>
          <w:rFonts w:hint="eastAsia" w:ascii="方正仿宋_GBK" w:hAnsi="宋体" w:eastAsia="仿宋"/>
          <w:b/>
          <w:color w:val="auto"/>
          <w:sz w:val="32"/>
          <w:szCs w:val="28"/>
          <w:highlight w:val="none"/>
        </w:rPr>
        <w:t>采购人：重庆市巴南区第二人民医院</w:t>
      </w:r>
    </w:p>
    <w:p>
      <w:pPr>
        <w:spacing w:line="520" w:lineRule="exact"/>
        <w:ind w:firstLine="480" w:firstLineChars="200"/>
        <w:jc w:val="left"/>
        <w:rPr>
          <w:rFonts w:ascii="宋体" w:hAnsi="宋体" w:eastAsia="仿宋" w:cs="宋体"/>
          <w:color w:val="auto"/>
          <w:szCs w:val="28"/>
          <w:highlight w:val="none"/>
        </w:rPr>
      </w:pPr>
    </w:p>
    <w:p>
      <w:pPr>
        <w:spacing w:line="520" w:lineRule="exact"/>
        <w:ind w:firstLine="480" w:firstLineChars="200"/>
        <w:jc w:val="left"/>
        <w:rPr>
          <w:rFonts w:ascii="宋体" w:hAnsi="宋体" w:eastAsia="仿宋" w:cs="宋体"/>
          <w:color w:val="auto"/>
          <w:szCs w:val="28"/>
          <w:highlight w:val="none"/>
        </w:rPr>
      </w:pPr>
    </w:p>
    <w:p>
      <w:pPr>
        <w:spacing w:line="520" w:lineRule="exact"/>
        <w:jc w:val="center"/>
        <w:rPr>
          <w:rFonts w:eastAsia="黑体"/>
          <w:color w:val="auto"/>
          <w:sz w:val="32"/>
          <w:szCs w:val="32"/>
          <w:highlight w:val="none"/>
        </w:rPr>
        <w:sectPr>
          <w:headerReference r:id="rId3" w:type="default"/>
          <w:footerReference r:id="rId4"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方正仿宋_GBK" w:hAnsi="宋体" w:eastAsia="仿宋"/>
          <w:b/>
          <w:color w:val="auto"/>
          <w:sz w:val="36"/>
          <w:szCs w:val="30"/>
          <w:highlight w:val="none"/>
        </w:rPr>
        <w:t>二〇二</w:t>
      </w:r>
      <w:r>
        <w:rPr>
          <w:rFonts w:hint="eastAsia" w:ascii="方正仿宋_GBK" w:hAnsi="宋体" w:eastAsia="仿宋"/>
          <w:b/>
          <w:color w:val="auto"/>
          <w:sz w:val="36"/>
          <w:szCs w:val="30"/>
          <w:highlight w:val="none"/>
          <w:lang w:eastAsia="zh-CN"/>
        </w:rPr>
        <w:t>四</w:t>
      </w:r>
      <w:r>
        <w:rPr>
          <w:rFonts w:hint="eastAsia" w:ascii="方正仿宋_GBK" w:hAnsi="宋体" w:eastAsia="仿宋"/>
          <w:b/>
          <w:color w:val="auto"/>
          <w:sz w:val="36"/>
          <w:szCs w:val="30"/>
          <w:highlight w:val="none"/>
        </w:rPr>
        <w:t>年</w:t>
      </w:r>
      <w:r>
        <w:rPr>
          <w:rFonts w:hint="eastAsia" w:ascii="方正仿宋_GBK" w:hAnsi="宋体" w:eastAsia="仿宋"/>
          <w:b/>
          <w:color w:val="auto"/>
          <w:sz w:val="36"/>
          <w:szCs w:val="30"/>
          <w:highlight w:val="none"/>
          <w:lang w:eastAsia="zh-CN"/>
        </w:rPr>
        <w:t>四</w:t>
      </w:r>
      <w:r>
        <w:rPr>
          <w:rFonts w:hint="eastAsia" w:ascii="方正仿宋_GBK" w:hAnsi="宋体" w:eastAsia="仿宋"/>
          <w:b/>
          <w:color w:val="auto"/>
          <w:sz w:val="36"/>
          <w:szCs w:val="30"/>
          <w:highlight w:val="none"/>
        </w:rPr>
        <w:t>月</w:t>
      </w:r>
    </w:p>
    <w:p>
      <w:pPr>
        <w:pStyle w:val="3"/>
        <w:numPr>
          <w:ilvl w:val="0"/>
          <w:numId w:val="0"/>
        </w:numPr>
        <w:spacing w:before="156" w:after="156"/>
        <w:ind w:leftChars="0"/>
        <w:jc w:val="center"/>
        <w:rPr>
          <w:color w:val="auto"/>
          <w:highlight w:val="none"/>
        </w:rPr>
      </w:pPr>
      <w:bookmarkStart w:id="0" w:name="_Toc15652"/>
      <w:bookmarkStart w:id="1" w:name="_Toc32674"/>
      <w:bookmarkStart w:id="2" w:name="_Toc18640"/>
      <w:bookmarkStart w:id="3" w:name="_Toc409189607"/>
      <w:bookmarkStart w:id="4" w:name="_Toc10860"/>
      <w:bookmarkStart w:id="5" w:name="_Toc1349"/>
      <w:bookmarkStart w:id="6" w:name="_Toc20400"/>
      <w:bookmarkStart w:id="7" w:name="_Toc31222"/>
      <w:bookmarkStart w:id="8" w:name="_Toc28414"/>
      <w:bookmarkStart w:id="9" w:name="_Toc884"/>
      <w:bookmarkStart w:id="10" w:name="_Toc31259"/>
      <w:bookmarkStart w:id="11" w:name="_Toc29247"/>
      <w:bookmarkStart w:id="12" w:name="_Toc26422"/>
      <w:bookmarkStart w:id="13" w:name="_Toc23082"/>
      <w:bookmarkStart w:id="14" w:name="_Toc384905063"/>
      <w:bookmarkStart w:id="15" w:name="_Toc48837294"/>
      <w:bookmarkStart w:id="16" w:name="_Toc22748"/>
      <w:bookmarkStart w:id="17" w:name="_Toc19087"/>
      <w:bookmarkStart w:id="18" w:name="_Toc17236"/>
      <w:bookmarkStart w:id="19" w:name="_Toc9938"/>
      <w:bookmarkStart w:id="20" w:name="_Toc6324"/>
      <w:bookmarkStart w:id="21" w:name="_Toc25124"/>
      <w:bookmarkStart w:id="22" w:name="_Toc17834"/>
      <w:bookmarkStart w:id="23" w:name="_Toc23899"/>
      <w:bookmarkStart w:id="24" w:name="_Toc28504"/>
      <w:bookmarkStart w:id="25" w:name="_Toc10856"/>
      <w:bookmarkStart w:id="26" w:name="_Toc26243"/>
      <w:bookmarkStart w:id="27" w:name="_Toc12112"/>
      <w:bookmarkStart w:id="28" w:name="_Toc28927"/>
      <w:bookmarkStart w:id="29" w:name="_Toc31954"/>
      <w:r>
        <w:rPr>
          <w:rFonts w:hint="eastAsia"/>
          <w:color w:val="auto"/>
          <w:highlight w:val="none"/>
          <w:lang w:eastAsia="zh-CN"/>
        </w:rPr>
        <w:t>第一篇</w:t>
      </w:r>
      <w:r>
        <w:rPr>
          <w:rFonts w:hint="eastAsia"/>
          <w:color w:val="auto"/>
          <w:highlight w:val="none"/>
          <w:lang w:val="en-US" w:eastAsia="zh-CN"/>
        </w:rPr>
        <w:t xml:space="preserve">  </w:t>
      </w:r>
      <w:r>
        <w:rPr>
          <w:rFonts w:hint="eastAsia"/>
          <w:color w:val="auto"/>
          <w:highlight w:val="none"/>
        </w:rPr>
        <w:t>采购邀请书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line="520" w:lineRule="exact"/>
        <w:ind w:firstLine="480"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重庆市巴南区第二人民医院</w:t>
      </w:r>
      <w:r>
        <w:rPr>
          <w:rFonts w:hint="eastAsia" w:ascii="方正仿宋_GBK" w:hAnsi="仿宋" w:eastAsia="仿宋" w:cs="仿宋"/>
          <w:color w:val="auto"/>
          <w:kern w:val="0"/>
          <w:szCs w:val="28"/>
          <w:highlight w:val="none"/>
          <w:lang w:eastAsia="zh-CN"/>
        </w:rPr>
        <w:t>国家基本公共卫生健康体检</w:t>
      </w:r>
      <w:r>
        <w:rPr>
          <w:rFonts w:hint="eastAsia" w:ascii="方正仿宋_GBK" w:hAnsi="仿宋" w:eastAsia="仿宋" w:cs="仿宋"/>
          <w:color w:val="auto"/>
          <w:kern w:val="0"/>
          <w:szCs w:val="28"/>
          <w:highlight w:val="none"/>
        </w:rPr>
        <w:t>系统项目进行</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采购，欢迎有资格的供应商前来参与磋商。</w:t>
      </w:r>
    </w:p>
    <w:p>
      <w:pPr>
        <w:spacing w:before="156" w:after="156" w:line="520" w:lineRule="exact"/>
        <w:ind w:firstLine="482" w:firstLineChars="200"/>
        <w:jc w:val="left"/>
        <w:outlineLvl w:val="1"/>
        <w:rPr>
          <w:rFonts w:eastAsia="仿宋" w:cs="宋体"/>
          <w:b/>
          <w:bCs/>
          <w:color w:val="auto"/>
          <w:szCs w:val="28"/>
          <w:highlight w:val="none"/>
        </w:rPr>
      </w:pPr>
      <w:bookmarkStart w:id="30" w:name="_Toc9401"/>
      <w:bookmarkStart w:id="31" w:name="_Toc496021253"/>
      <w:bookmarkStart w:id="32" w:name="_Toc22913"/>
      <w:bookmarkStart w:id="33" w:name="_Toc14384"/>
      <w:bookmarkStart w:id="34" w:name="_Toc17527"/>
      <w:bookmarkStart w:id="35" w:name="_Toc12339"/>
      <w:bookmarkStart w:id="36" w:name="_Toc394390667"/>
      <w:bookmarkStart w:id="37" w:name="_Toc409189608"/>
      <w:bookmarkStart w:id="38" w:name="_Toc20641"/>
      <w:bookmarkStart w:id="39" w:name="_Toc28983"/>
      <w:bookmarkStart w:id="40" w:name="_Toc12926"/>
      <w:bookmarkStart w:id="41" w:name="_Toc9329"/>
      <w:bookmarkStart w:id="42" w:name="_Toc25274"/>
      <w:bookmarkStart w:id="43" w:name="_Toc14688"/>
      <w:bookmarkStart w:id="44" w:name="_Toc22920"/>
      <w:bookmarkStart w:id="45" w:name="_Toc20340"/>
      <w:bookmarkStart w:id="46" w:name="_Toc8724"/>
      <w:bookmarkStart w:id="47" w:name="_Toc12869"/>
      <w:bookmarkStart w:id="48" w:name="_Toc24079"/>
      <w:bookmarkStart w:id="49" w:name="_Toc8661"/>
      <w:bookmarkStart w:id="50" w:name="_Toc24733"/>
      <w:bookmarkStart w:id="51" w:name="_Toc22466"/>
      <w:bookmarkStart w:id="52" w:name="_Toc10904"/>
      <w:bookmarkStart w:id="53" w:name="_Toc30770"/>
      <w:bookmarkStart w:id="54" w:name="_Toc28969"/>
      <w:bookmarkStart w:id="55" w:name="_Toc25215"/>
      <w:bookmarkStart w:id="56" w:name="_Toc7453"/>
      <w:bookmarkStart w:id="57" w:name="_Toc29073"/>
      <w:bookmarkStart w:id="58" w:name="_Toc22879"/>
      <w:bookmarkStart w:id="59" w:name="_Toc48837295"/>
      <w:r>
        <w:rPr>
          <w:rFonts w:hint="eastAsia" w:eastAsia="仿宋" w:cs="宋体"/>
          <w:b/>
          <w:bCs/>
          <w:color w:val="auto"/>
          <w:szCs w:val="28"/>
          <w:highlight w:val="none"/>
        </w:rPr>
        <w:t>一、</w:t>
      </w:r>
      <w:bookmarkEnd w:id="30"/>
      <w:bookmarkEnd w:id="31"/>
      <w:bookmarkEnd w:id="32"/>
      <w:bookmarkEnd w:id="33"/>
      <w:bookmarkEnd w:id="34"/>
      <w:bookmarkEnd w:id="35"/>
      <w:bookmarkEnd w:id="36"/>
      <w:bookmarkEnd w:id="37"/>
      <w:bookmarkEnd w:id="38"/>
      <w:bookmarkEnd w:id="39"/>
      <w:bookmarkEnd w:id="40"/>
      <w:r>
        <w:rPr>
          <w:rFonts w:hint="eastAsia" w:eastAsia="仿宋" w:cs="宋体"/>
          <w:b/>
          <w:bCs/>
          <w:color w:val="auto"/>
          <w:szCs w:val="28"/>
          <w:highlight w:val="none"/>
          <w:lang w:eastAsia="zh-CN"/>
        </w:rPr>
        <w:t>竞争性磋商</w:t>
      </w:r>
      <w:r>
        <w:rPr>
          <w:rFonts w:hint="eastAsia" w:eastAsia="仿宋" w:cs="宋体"/>
          <w:b/>
          <w:bCs/>
          <w:color w:val="auto"/>
          <w:szCs w:val="28"/>
          <w:highlight w:val="none"/>
        </w:rPr>
        <w:t>内容</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Style w:val="24"/>
        <w:tblW w:w="7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7"/>
        <w:gridCol w:w="1709"/>
        <w:gridCol w:w="1362"/>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2577"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b/>
                <w:bCs/>
                <w:color w:val="auto"/>
                <w:szCs w:val="18"/>
                <w:highlight w:val="none"/>
              </w:rPr>
            </w:pPr>
            <w:bookmarkStart w:id="60" w:name="_Toc30285"/>
            <w:bookmarkStart w:id="61" w:name="_Toc28493"/>
            <w:bookmarkStart w:id="62" w:name="_Toc31035"/>
            <w:bookmarkStart w:id="63" w:name="_Toc48837296"/>
            <w:bookmarkStart w:id="64" w:name="_Toc20059"/>
            <w:bookmarkStart w:id="65" w:name="_Toc29325"/>
            <w:bookmarkStart w:id="66" w:name="_Toc21812"/>
            <w:bookmarkStart w:id="67" w:name="_Toc17801"/>
            <w:bookmarkStart w:id="68" w:name="_Toc16154"/>
            <w:bookmarkStart w:id="69" w:name="_Toc17029"/>
            <w:bookmarkStart w:id="70" w:name="_Toc18183"/>
            <w:bookmarkStart w:id="71" w:name="_Toc25113"/>
            <w:bookmarkStart w:id="72" w:name="_Toc394390668"/>
            <w:bookmarkStart w:id="73" w:name="_Toc15377"/>
            <w:bookmarkStart w:id="74" w:name="_Toc409189609"/>
            <w:bookmarkStart w:id="75" w:name="_Toc24335"/>
            <w:r>
              <w:rPr>
                <w:rFonts w:hint="eastAsia" w:ascii="方正仿宋_GBK" w:hAnsi="方正仿宋_GBK" w:eastAsia="仿宋" w:cs="方正仿宋_GBK"/>
                <w:b/>
                <w:bCs/>
                <w:color w:val="auto"/>
                <w:szCs w:val="18"/>
                <w:highlight w:val="none"/>
              </w:rPr>
              <w:t>项目名称</w:t>
            </w:r>
          </w:p>
        </w:tc>
        <w:tc>
          <w:tcPr>
            <w:tcW w:w="1709" w:type="dxa"/>
            <w:vAlign w:val="center"/>
          </w:tcPr>
          <w:p>
            <w:pPr>
              <w:keepNext w:val="0"/>
              <w:keepLines w:val="0"/>
              <w:suppressLineNumbers w:val="0"/>
              <w:spacing w:before="0" w:beforeAutospacing="0" w:after="0" w:afterAutospacing="0"/>
              <w:ind w:left="0" w:right="0"/>
              <w:jc w:val="center"/>
              <w:rPr>
                <w:rFonts w:hint="eastAsia" w:ascii="方正仿宋_GBK" w:hAnsi="方正仿宋_GBK" w:eastAsia="仿宋" w:cs="方正仿宋_GBK"/>
                <w:b/>
                <w:bCs/>
                <w:color w:val="auto"/>
                <w:szCs w:val="18"/>
                <w:highlight w:val="none"/>
                <w:lang w:eastAsia="zh-CN"/>
              </w:rPr>
            </w:pPr>
            <w:r>
              <w:rPr>
                <w:rFonts w:hint="eastAsia" w:ascii="方正仿宋_GBK" w:hAnsi="方正仿宋_GBK" w:eastAsia="仿宋" w:cs="方正仿宋_GBK"/>
                <w:b/>
                <w:bCs/>
                <w:color w:val="auto"/>
                <w:szCs w:val="18"/>
                <w:highlight w:val="none"/>
                <w:lang w:eastAsia="zh-CN"/>
              </w:rPr>
              <w:t>最高限价</w:t>
            </w:r>
          </w:p>
          <w:p>
            <w:pPr>
              <w:keepNext w:val="0"/>
              <w:keepLines w:val="0"/>
              <w:suppressLineNumbers w:val="0"/>
              <w:spacing w:before="0" w:beforeAutospacing="0" w:after="0" w:afterAutospacing="0"/>
              <w:ind w:left="0" w:right="0"/>
              <w:jc w:val="center"/>
              <w:rPr>
                <w:rFonts w:hint="default" w:ascii="方正仿宋_GBK" w:hAnsi="方正仿宋_GBK" w:eastAsia="仿宋" w:cs="方正仿宋_GBK"/>
                <w:b/>
                <w:bCs/>
                <w:color w:val="auto"/>
                <w:szCs w:val="18"/>
                <w:highlight w:val="none"/>
              </w:rPr>
            </w:pPr>
            <w:r>
              <w:rPr>
                <w:rFonts w:hint="eastAsia" w:ascii="方正仿宋_GBK" w:hAnsi="方正仿宋_GBK" w:eastAsia="仿宋" w:cs="方正仿宋_GBK"/>
                <w:b/>
                <w:bCs/>
                <w:color w:val="auto"/>
                <w:szCs w:val="18"/>
                <w:highlight w:val="none"/>
              </w:rPr>
              <w:t>（元）</w:t>
            </w:r>
          </w:p>
        </w:tc>
        <w:tc>
          <w:tcPr>
            <w:tcW w:w="1362"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b/>
                <w:bCs/>
                <w:color w:val="auto"/>
                <w:szCs w:val="18"/>
                <w:highlight w:val="none"/>
              </w:rPr>
            </w:pPr>
            <w:r>
              <w:rPr>
                <w:rFonts w:hint="eastAsia" w:ascii="方正仿宋_GBK" w:hAnsi="方正仿宋_GBK" w:eastAsia="仿宋" w:cs="方正仿宋_GBK"/>
                <w:b/>
                <w:bCs/>
                <w:color w:val="auto"/>
                <w:szCs w:val="18"/>
                <w:highlight w:val="none"/>
              </w:rPr>
              <w:t>成交供应商数量</w:t>
            </w:r>
          </w:p>
        </w:tc>
        <w:tc>
          <w:tcPr>
            <w:tcW w:w="1883" w:type="dxa"/>
            <w:vAlign w:val="center"/>
          </w:tcPr>
          <w:p>
            <w:pPr>
              <w:keepNext w:val="0"/>
              <w:keepLines w:val="0"/>
              <w:suppressLineNumbers w:val="0"/>
              <w:spacing w:before="0" w:beforeAutospacing="0" w:after="0" w:afterAutospacing="0"/>
              <w:ind w:left="0" w:right="0"/>
              <w:jc w:val="center"/>
              <w:rPr>
                <w:rFonts w:hint="eastAsia" w:ascii="方正仿宋_GBK" w:hAnsi="方正仿宋_GBK" w:eastAsia="仿宋" w:cs="方正仿宋_GBK"/>
                <w:b/>
                <w:bCs/>
                <w:color w:val="auto"/>
                <w:szCs w:val="18"/>
                <w:highlight w:val="none"/>
                <w:lang w:eastAsia="zh-CN"/>
              </w:rPr>
            </w:pPr>
            <w:r>
              <w:rPr>
                <w:rFonts w:hint="eastAsia" w:ascii="方正仿宋_GBK" w:hAnsi="方正仿宋_GBK" w:eastAsia="仿宋" w:cs="方正仿宋_GBK"/>
                <w:b/>
                <w:bCs/>
                <w:color w:val="auto"/>
                <w:szCs w:val="18"/>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2577" w:type="dxa"/>
            <w:vAlign w:val="center"/>
          </w:tcPr>
          <w:p>
            <w:pPr>
              <w:keepNext w:val="0"/>
              <w:keepLines w:val="0"/>
              <w:suppressLineNumbers w:val="0"/>
              <w:spacing w:before="0" w:beforeAutospacing="0" w:after="0" w:afterAutospacing="0" w:line="520" w:lineRule="exact"/>
              <w:ind w:left="0" w:right="0"/>
              <w:rPr>
                <w:rFonts w:hint="default" w:ascii="方正仿宋_GBK" w:hAnsi="方正仿宋_GBK" w:eastAsia="仿宋" w:cs="方正仿宋_GBK"/>
                <w:color w:val="auto"/>
                <w:sz w:val="22"/>
                <w:szCs w:val="16"/>
                <w:highlight w:val="none"/>
              </w:rPr>
            </w:pPr>
            <w:r>
              <w:rPr>
                <w:rFonts w:hint="default" w:ascii="方正仿宋_GBK" w:hAnsi="方正仿宋_GBK" w:eastAsia="仿宋" w:cs="方正仿宋_GBK"/>
                <w:color w:val="auto"/>
                <w:sz w:val="22"/>
                <w:szCs w:val="16"/>
                <w:highlight w:val="none"/>
              </w:rPr>
              <w:t>重庆市巴南区第二人民医院</w:t>
            </w:r>
            <w:r>
              <w:rPr>
                <w:rFonts w:hint="eastAsia" w:ascii="方正仿宋_GBK" w:hAnsi="方正仿宋_GBK" w:eastAsia="仿宋" w:cs="方正仿宋_GBK"/>
                <w:color w:val="auto"/>
                <w:sz w:val="22"/>
                <w:szCs w:val="16"/>
                <w:highlight w:val="none"/>
                <w:lang w:eastAsia="zh-CN"/>
              </w:rPr>
              <w:t>国家基本公共卫生健康体检</w:t>
            </w:r>
            <w:r>
              <w:rPr>
                <w:rFonts w:hint="eastAsia" w:ascii="方正仿宋_GBK" w:hAnsi="方正仿宋_GBK" w:eastAsia="仿宋" w:cs="方正仿宋_GBK"/>
                <w:color w:val="auto"/>
                <w:sz w:val="22"/>
                <w:szCs w:val="16"/>
                <w:highlight w:val="none"/>
              </w:rPr>
              <w:t>系统</w:t>
            </w:r>
            <w:r>
              <w:rPr>
                <w:rFonts w:hint="default" w:ascii="方正仿宋_GBK" w:hAnsi="方正仿宋_GBK" w:eastAsia="仿宋" w:cs="方正仿宋_GBK"/>
                <w:color w:val="auto"/>
                <w:sz w:val="22"/>
                <w:szCs w:val="16"/>
                <w:highlight w:val="none"/>
              </w:rPr>
              <w:t>项目</w:t>
            </w:r>
          </w:p>
        </w:tc>
        <w:tc>
          <w:tcPr>
            <w:tcW w:w="1709" w:type="dxa"/>
            <w:vAlign w:val="center"/>
          </w:tcPr>
          <w:p>
            <w:pPr>
              <w:keepNext w:val="0"/>
              <w:keepLines w:val="0"/>
              <w:suppressLineNumbers w:val="0"/>
              <w:spacing w:before="0" w:beforeAutospacing="0" w:after="0" w:afterAutospacing="0"/>
              <w:ind w:left="0" w:right="0"/>
              <w:jc w:val="center"/>
              <w:rPr>
                <w:rFonts w:hint="eastAsia" w:ascii="方正仿宋_GBK" w:hAnsi="方正仿宋_GBK" w:eastAsia="仿宋" w:cs="方正仿宋_GBK"/>
                <w:color w:val="auto"/>
                <w:sz w:val="22"/>
                <w:szCs w:val="16"/>
                <w:highlight w:val="none"/>
                <w:lang w:val="en-US" w:eastAsia="zh-CN"/>
              </w:rPr>
            </w:pPr>
            <w:r>
              <w:rPr>
                <w:rFonts w:hint="eastAsia" w:ascii="方正仿宋_GBK" w:hAnsi="方正仿宋_GBK" w:eastAsia="仿宋" w:cs="方正仿宋_GBK"/>
                <w:color w:val="auto"/>
                <w:sz w:val="22"/>
                <w:szCs w:val="16"/>
                <w:highlight w:val="none"/>
                <w:lang w:val="en-US" w:eastAsia="zh-CN"/>
              </w:rPr>
              <w:t>275000.00</w:t>
            </w:r>
          </w:p>
        </w:tc>
        <w:tc>
          <w:tcPr>
            <w:tcW w:w="1362"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color w:val="auto"/>
                <w:sz w:val="22"/>
                <w:szCs w:val="16"/>
                <w:highlight w:val="none"/>
                <w:lang w:val="en-US" w:eastAsia="zh-CN"/>
              </w:rPr>
            </w:pPr>
            <w:r>
              <w:rPr>
                <w:rFonts w:hint="eastAsia" w:ascii="方正仿宋_GBK" w:hAnsi="方正仿宋_GBK" w:eastAsia="仿宋" w:cs="方正仿宋_GBK"/>
                <w:color w:val="auto"/>
                <w:sz w:val="22"/>
                <w:szCs w:val="16"/>
                <w:highlight w:val="none"/>
                <w:lang w:val="en-US" w:eastAsia="zh-CN"/>
              </w:rPr>
              <w:t>1</w:t>
            </w:r>
          </w:p>
        </w:tc>
        <w:tc>
          <w:tcPr>
            <w:tcW w:w="1883"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仿宋" w:cs="方正仿宋_GBK"/>
                <w:color w:val="auto"/>
                <w:sz w:val="22"/>
                <w:szCs w:val="16"/>
                <w:highlight w:val="none"/>
                <w:lang w:val="en-US" w:eastAsia="zh-CN"/>
              </w:rPr>
            </w:pPr>
          </w:p>
        </w:tc>
      </w:tr>
    </w:tbl>
    <w:p>
      <w:pPr>
        <w:spacing w:before="156" w:after="156" w:line="520" w:lineRule="exact"/>
        <w:ind w:firstLine="482" w:firstLineChars="200"/>
        <w:jc w:val="left"/>
        <w:outlineLvl w:val="1"/>
        <w:rPr>
          <w:rFonts w:eastAsia="仿宋" w:cs="宋体"/>
          <w:b/>
          <w:bCs/>
          <w:color w:val="auto"/>
          <w:szCs w:val="28"/>
          <w:highlight w:val="none"/>
        </w:rPr>
      </w:pPr>
      <w:bookmarkStart w:id="76" w:name="_Toc24696"/>
      <w:bookmarkStart w:id="77" w:name="_Toc12117"/>
      <w:bookmarkStart w:id="78" w:name="_Toc5178"/>
      <w:bookmarkStart w:id="79" w:name="_Toc17952"/>
      <w:bookmarkStart w:id="80" w:name="_Toc31943"/>
      <w:bookmarkStart w:id="81" w:name="_Toc23138"/>
      <w:bookmarkStart w:id="82" w:name="_Toc18246"/>
      <w:bookmarkStart w:id="83" w:name="_Toc1319"/>
      <w:bookmarkStart w:id="84" w:name="_Toc112"/>
      <w:bookmarkStart w:id="85" w:name="_Toc21142"/>
      <w:bookmarkStart w:id="86" w:name="_Toc3588"/>
      <w:bookmarkStart w:id="87" w:name="_Toc29226"/>
      <w:bookmarkStart w:id="88" w:name="_Toc19222"/>
      <w:r>
        <w:rPr>
          <w:rFonts w:hint="eastAsia" w:eastAsia="仿宋" w:cs="宋体"/>
          <w:b/>
          <w:bCs/>
          <w:color w:val="auto"/>
          <w:szCs w:val="28"/>
          <w:highlight w:val="none"/>
        </w:rPr>
        <w:t>二、资金来源</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eastAsia="zh-CN"/>
        </w:rPr>
        <w:t>自筹</w:t>
      </w: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最高限价</w:t>
      </w:r>
      <w:r>
        <w:rPr>
          <w:rFonts w:hint="eastAsia" w:ascii="方正仿宋_GBK" w:hAnsi="仿宋" w:eastAsia="仿宋" w:cs="仿宋"/>
          <w:color w:val="auto"/>
          <w:kern w:val="0"/>
          <w:szCs w:val="28"/>
          <w:highlight w:val="none"/>
        </w:rPr>
        <w:t>为</w:t>
      </w:r>
      <w:r>
        <w:rPr>
          <w:rFonts w:hint="eastAsia" w:ascii="方正仿宋_GBK" w:hAnsi="仿宋" w:eastAsia="仿宋" w:cs="仿宋"/>
          <w:color w:val="auto"/>
          <w:kern w:val="0"/>
          <w:szCs w:val="28"/>
          <w:highlight w:val="none"/>
          <w:lang w:val="en-US" w:eastAsia="zh-CN"/>
        </w:rPr>
        <w:t>275</w:t>
      </w:r>
      <w:r>
        <w:rPr>
          <w:rFonts w:hint="eastAsia" w:ascii="方正仿宋_GBK" w:hAnsi="仿宋" w:eastAsia="仿宋" w:cs="仿宋"/>
          <w:color w:val="auto"/>
          <w:kern w:val="0"/>
          <w:szCs w:val="28"/>
          <w:highlight w:val="none"/>
        </w:rPr>
        <w:t>000.00元。</w:t>
      </w:r>
    </w:p>
    <w:p>
      <w:pPr>
        <w:spacing w:before="156" w:after="156" w:line="520" w:lineRule="exact"/>
        <w:ind w:firstLine="482" w:firstLineChars="200"/>
        <w:jc w:val="left"/>
        <w:outlineLvl w:val="1"/>
        <w:rPr>
          <w:rFonts w:eastAsia="仿宋" w:cs="宋体"/>
          <w:b/>
          <w:bCs/>
          <w:color w:val="auto"/>
          <w:szCs w:val="28"/>
          <w:highlight w:val="none"/>
        </w:rPr>
      </w:pPr>
      <w:bookmarkStart w:id="89" w:name="_Toc31670"/>
      <w:bookmarkStart w:id="90" w:name="_Toc14169"/>
      <w:bookmarkStart w:id="91" w:name="_Toc25413"/>
      <w:bookmarkStart w:id="92" w:name="_Toc31349"/>
      <w:bookmarkStart w:id="93" w:name="_Toc16524"/>
      <w:bookmarkStart w:id="94" w:name="_Toc10636"/>
      <w:bookmarkStart w:id="95" w:name="_Toc22134"/>
      <w:bookmarkStart w:id="96" w:name="_Toc32431"/>
      <w:bookmarkStart w:id="97" w:name="_Toc13049"/>
      <w:bookmarkStart w:id="98" w:name="_Toc409189610"/>
      <w:bookmarkStart w:id="99" w:name="_Toc258"/>
      <w:bookmarkStart w:id="100" w:name="_Toc21671"/>
      <w:bookmarkStart w:id="101" w:name="_Toc30163"/>
      <w:bookmarkStart w:id="102" w:name="_Toc26038"/>
      <w:bookmarkStart w:id="103" w:name="_Toc19744"/>
      <w:bookmarkStart w:id="104" w:name="_Toc685"/>
      <w:bookmarkStart w:id="105" w:name="_Toc48837297"/>
      <w:bookmarkStart w:id="106" w:name="_Toc30892"/>
      <w:bookmarkStart w:id="107" w:name="_Toc394390669"/>
      <w:bookmarkStart w:id="108" w:name="_Toc19995"/>
      <w:bookmarkStart w:id="109" w:name="_Toc6307"/>
      <w:bookmarkStart w:id="110" w:name="_Toc22463"/>
      <w:bookmarkStart w:id="111" w:name="_Toc25550"/>
      <w:bookmarkStart w:id="112" w:name="_Toc23551"/>
      <w:bookmarkStart w:id="113" w:name="_Toc16627"/>
      <w:bookmarkStart w:id="114" w:name="_Toc3717"/>
      <w:bookmarkStart w:id="115" w:name="_Toc10858"/>
      <w:bookmarkStart w:id="116" w:name="_Toc21414"/>
      <w:bookmarkStart w:id="117" w:name="_Toc17739"/>
      <w:r>
        <w:rPr>
          <w:rFonts w:hint="eastAsia" w:eastAsia="仿宋" w:cs="宋体"/>
          <w:b/>
          <w:bCs/>
          <w:color w:val="auto"/>
          <w:szCs w:val="28"/>
          <w:highlight w:val="none"/>
        </w:rPr>
        <w:t>三、</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eastAsia="仿宋" w:cs="宋体"/>
          <w:b/>
          <w:bCs/>
          <w:color w:val="auto"/>
          <w:szCs w:val="28"/>
          <w:highlight w:val="none"/>
        </w:rPr>
        <w:t>供应商资格条件</w:t>
      </w:r>
      <w:bookmarkEnd w:id="114"/>
      <w:bookmarkEnd w:id="115"/>
      <w:bookmarkEnd w:id="116"/>
      <w:bookmarkEnd w:id="117"/>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118" w:name="_Toc7978"/>
      <w:bookmarkStart w:id="119" w:name="_Toc12349"/>
      <w:bookmarkStart w:id="120" w:name="_Toc4736"/>
      <w:bookmarkStart w:id="121" w:name="_Toc3317"/>
      <w:bookmarkStart w:id="122" w:name="_Toc31947"/>
      <w:bookmarkStart w:id="123" w:name="_Toc28595"/>
      <w:bookmarkStart w:id="124" w:name="_Toc22648"/>
      <w:bookmarkStart w:id="125" w:name="_Toc28826"/>
      <w:bookmarkStart w:id="126" w:name="_Toc14905"/>
      <w:bookmarkStart w:id="127" w:name="_Toc9364"/>
      <w:bookmarkStart w:id="128" w:name="_Toc10223"/>
      <w:bookmarkStart w:id="129" w:name="_Toc18238"/>
      <w:bookmarkStart w:id="130" w:name="_Toc7370"/>
      <w:bookmarkStart w:id="131" w:name="_Toc18923"/>
      <w:bookmarkStart w:id="132" w:name="_Toc19479"/>
      <w:bookmarkStart w:id="133" w:name="_Toc23925"/>
      <w:bookmarkStart w:id="134" w:name="_Toc7315"/>
      <w:bookmarkStart w:id="135" w:name="_Toc409189611"/>
      <w:bookmarkStart w:id="136" w:name="_Toc6106"/>
      <w:bookmarkStart w:id="137" w:name="_Toc3161"/>
      <w:bookmarkStart w:id="138" w:name="_Toc48837298"/>
      <w:bookmarkStart w:id="139" w:name="_Toc27155"/>
      <w:bookmarkStart w:id="140" w:name="_Toc15713"/>
      <w:bookmarkStart w:id="141" w:name="_Toc26381"/>
      <w:bookmarkStart w:id="142" w:name="_Toc3030"/>
      <w:bookmarkStart w:id="143" w:name="_Toc9628"/>
      <w:bookmarkStart w:id="144" w:name="_Toc7718"/>
      <w:bookmarkStart w:id="145" w:name="_Toc28624"/>
      <w:r>
        <w:rPr>
          <w:rFonts w:hint="eastAsia" w:ascii="方正仿宋_GBK" w:hAnsi="仿宋" w:eastAsia="仿宋" w:cs="仿宋"/>
          <w:color w:val="auto"/>
          <w:kern w:val="0"/>
          <w:szCs w:val="28"/>
          <w:highlight w:val="none"/>
          <w:lang w:eastAsia="zh-CN"/>
        </w:rPr>
        <w:t>合格投标人应首先符合政府采购法第二十二条规定的基本条件，同时符合根据该项目特点设置的特定资格条件。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（一）基本资格条件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1.具有独立承担民事责任的能力；</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2.具有良好的商业信誉和健全的财务会计制度；</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3.具有履行合同所必需的设备和专业技术能力；</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4.有依法缴纳税收和社会保障资金的良好记录；</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5.参加政府采购活动前三年内，在经营活动中没有重大违法记录；</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6.法律、行政法规规定的其他条件。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（二）特定资格条件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val="en-US" w:eastAsia="zh-CN"/>
        </w:rPr>
        <w:t>无。</w:t>
      </w:r>
    </w:p>
    <w:p>
      <w:pPr>
        <w:spacing w:before="156" w:after="156" w:line="520" w:lineRule="exact"/>
        <w:ind w:firstLine="482" w:firstLineChars="200"/>
        <w:jc w:val="left"/>
        <w:outlineLvl w:val="1"/>
        <w:rPr>
          <w:rFonts w:eastAsia="仿宋" w:cs="宋体"/>
          <w:b/>
          <w:bCs/>
          <w:color w:val="auto"/>
          <w:szCs w:val="28"/>
          <w:highlight w:val="none"/>
        </w:rPr>
      </w:pPr>
      <w:r>
        <w:rPr>
          <w:rFonts w:hint="eastAsia" w:eastAsia="仿宋" w:cs="宋体"/>
          <w:b/>
          <w:bCs/>
          <w:color w:val="auto"/>
          <w:szCs w:val="28"/>
          <w:highlight w:val="none"/>
        </w:rPr>
        <w:t>四、磋商有关说明</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146" w:name="_Toc495592636"/>
      <w:r>
        <w:rPr>
          <w:rFonts w:hint="eastAsia" w:ascii="方正仿宋_GBK" w:hAnsi="仿宋" w:eastAsia="仿宋" w:cs="仿宋"/>
          <w:color w:val="auto"/>
          <w:kern w:val="0"/>
          <w:szCs w:val="28"/>
          <w:highlight w:val="none"/>
          <w:lang w:eastAsia="zh-CN"/>
        </w:rPr>
        <w:t>（一）凡有意参加磋商的投标人，请自行在重庆市巴南区第二人民医院官网上下载本项目竞争性磋商文件以及补遗等磋商前公布的所有项目资料，无论投标人领取或下载与否，均视为已知晓所有磋商实质性要求内容。</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（二）磋商文件公告期限：</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24</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29</w:t>
      </w:r>
      <w:r>
        <w:rPr>
          <w:rFonts w:hint="eastAsia" w:ascii="方正仿宋_GBK" w:hAnsi="仿宋" w:eastAsia="仿宋" w:cs="仿宋"/>
          <w:color w:val="auto"/>
          <w:kern w:val="0"/>
          <w:szCs w:val="28"/>
          <w:highlight w:val="none"/>
          <w:lang w:eastAsia="zh-CN"/>
        </w:rPr>
        <w:t>日。</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（三）投标人须满足以下两种要件，其响应文件才被接受：</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1、按时递交了响应文件；</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2、按时报名签到；</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（四）递交响应文件地点：重庆市巴南区第二人民医院采购办（重庆市巴南区花溪街道花溪新村</w:t>
      </w:r>
      <w:r>
        <w:rPr>
          <w:rFonts w:hint="eastAsia" w:ascii="方正仿宋_GBK" w:hAnsi="仿宋" w:eastAsia="仿宋" w:cs="仿宋"/>
          <w:color w:val="auto"/>
          <w:kern w:val="0"/>
          <w:szCs w:val="28"/>
          <w:highlight w:val="none"/>
          <w:lang w:val="en-US" w:eastAsia="zh-CN"/>
        </w:rPr>
        <w:t>18</w:t>
      </w:r>
      <w:r>
        <w:rPr>
          <w:rFonts w:hint="eastAsia" w:ascii="方正仿宋_GBK" w:hAnsi="仿宋" w:eastAsia="仿宋" w:cs="仿宋"/>
          <w:color w:val="auto"/>
          <w:kern w:val="0"/>
          <w:szCs w:val="28"/>
          <w:highlight w:val="none"/>
          <w:lang w:eastAsia="zh-CN"/>
        </w:rPr>
        <w:t>号）。</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（五）响应文件递交起止时间：</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29</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14</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1</w:t>
      </w:r>
      <w:r>
        <w:rPr>
          <w:rFonts w:hint="eastAsia" w:ascii="方正仿宋_GBK" w:hAnsi="仿宋" w:eastAsia="仿宋" w:cs="仿宋"/>
          <w:color w:val="auto"/>
          <w:kern w:val="0"/>
          <w:szCs w:val="28"/>
          <w:highlight w:val="none"/>
          <w:lang w:eastAsia="zh-CN"/>
        </w:rPr>
        <w:t>0 ——</w:t>
      </w:r>
      <w:r>
        <w:rPr>
          <w:rFonts w:hint="eastAsia" w:ascii="方正仿宋_GBK" w:hAnsi="仿宋" w:eastAsia="仿宋" w:cs="仿宋"/>
          <w:color w:val="auto"/>
          <w:kern w:val="0"/>
          <w:szCs w:val="28"/>
          <w:highlight w:val="none"/>
          <w:lang w:val="en-US" w:eastAsia="zh-CN"/>
        </w:rPr>
        <w:t>14</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0时；响应文件开启时间：</w:t>
      </w:r>
      <w:r>
        <w:rPr>
          <w:rFonts w:hint="eastAsia" w:ascii="方正仿宋_GBK" w:hAnsi="仿宋" w:eastAsia="仿宋" w:cs="仿宋"/>
          <w:color w:val="auto"/>
          <w:kern w:val="0"/>
          <w:szCs w:val="28"/>
          <w:highlight w:val="none"/>
          <w:lang w:val="en-US" w:eastAsia="zh-CN"/>
        </w:rPr>
        <w:t>2024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29</w:t>
      </w:r>
      <w:r>
        <w:rPr>
          <w:rFonts w:hint="eastAsia" w:ascii="方正仿宋_GBK" w:hAnsi="仿宋" w:eastAsia="仿宋" w:cs="仿宋"/>
          <w:color w:val="auto"/>
          <w:kern w:val="0"/>
          <w:szCs w:val="28"/>
          <w:highlight w:val="none"/>
          <w:lang w:eastAsia="zh-CN"/>
        </w:rPr>
        <w:t>日</w:t>
      </w:r>
      <w:r>
        <w:rPr>
          <w:rFonts w:hint="eastAsia" w:ascii="方正仿宋_GBK" w:hAnsi="仿宋" w:eastAsia="仿宋" w:cs="仿宋"/>
          <w:color w:val="auto"/>
          <w:kern w:val="0"/>
          <w:szCs w:val="28"/>
          <w:highlight w:val="none"/>
          <w:lang w:val="en-US" w:eastAsia="zh-CN"/>
        </w:rPr>
        <w:t>14</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0。</w:t>
      </w:r>
    </w:p>
    <w:bookmarkEnd w:id="146"/>
    <w:p>
      <w:pPr>
        <w:spacing w:before="156" w:after="156" w:line="520" w:lineRule="exact"/>
        <w:ind w:firstLine="482" w:firstLineChars="200"/>
        <w:jc w:val="left"/>
        <w:outlineLvl w:val="1"/>
        <w:rPr>
          <w:rFonts w:eastAsia="仿宋" w:cs="宋体"/>
          <w:b/>
          <w:bCs/>
          <w:color w:val="auto"/>
          <w:szCs w:val="28"/>
          <w:highlight w:val="none"/>
        </w:rPr>
      </w:pPr>
      <w:bookmarkStart w:id="147" w:name="_Toc5685"/>
      <w:bookmarkStart w:id="148" w:name="_Toc12036"/>
      <w:bookmarkStart w:id="149" w:name="_Toc14448"/>
      <w:bookmarkStart w:id="150" w:name="_Toc28126"/>
      <w:bookmarkStart w:id="151" w:name="_Toc23216"/>
      <w:bookmarkStart w:id="152" w:name="_Toc13392"/>
      <w:bookmarkStart w:id="153" w:name="_Toc27985"/>
      <w:bookmarkStart w:id="154" w:name="_Toc6190"/>
      <w:bookmarkStart w:id="155" w:name="_Toc13814"/>
      <w:bookmarkStart w:id="156" w:name="_Toc7162"/>
      <w:bookmarkStart w:id="157" w:name="_Toc1558"/>
      <w:bookmarkStart w:id="158" w:name="_Toc9050"/>
      <w:bookmarkStart w:id="159" w:name="_Toc3572"/>
      <w:bookmarkStart w:id="160" w:name="_Toc21143"/>
      <w:bookmarkStart w:id="161" w:name="_Toc48837300"/>
      <w:bookmarkStart w:id="162" w:name="_Toc32044"/>
      <w:bookmarkStart w:id="163" w:name="_Toc14132"/>
      <w:bookmarkStart w:id="164" w:name="_Toc13173"/>
      <w:bookmarkStart w:id="165" w:name="_Toc13480"/>
      <w:bookmarkStart w:id="166" w:name="_Toc7973"/>
      <w:bookmarkStart w:id="167" w:name="_Toc7014"/>
      <w:bookmarkStart w:id="168" w:name="_Toc7003"/>
      <w:bookmarkStart w:id="169" w:name="_Toc15052"/>
      <w:bookmarkStart w:id="170" w:name="_Toc4707"/>
      <w:bookmarkStart w:id="171" w:name="_Toc14053"/>
      <w:bookmarkStart w:id="172" w:name="_Toc12289"/>
      <w:bookmarkStart w:id="173" w:name="_Toc22561"/>
      <w:bookmarkStart w:id="174" w:name="_Toc409189614"/>
      <w:r>
        <w:rPr>
          <w:rFonts w:hint="eastAsia" w:eastAsia="仿宋" w:cs="宋体"/>
          <w:b/>
          <w:bCs/>
          <w:color w:val="auto"/>
          <w:szCs w:val="28"/>
          <w:highlight w:val="none"/>
          <w:lang w:eastAsia="zh-CN"/>
        </w:rPr>
        <w:t>五</w:t>
      </w:r>
      <w:r>
        <w:rPr>
          <w:rFonts w:hint="eastAsia" w:eastAsia="仿宋" w:cs="宋体"/>
          <w:b/>
          <w:bCs/>
          <w:color w:val="auto"/>
          <w:szCs w:val="28"/>
          <w:highlight w:val="none"/>
        </w:rPr>
        <w:t>、磋商有关规定</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（一）单位负责人为同一人或者存在直接控股、管理关系的不同供应商，不得参加同一合同项（包）下的政府采购活动。</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（二）为采购项目提供整体设计、规范编制或者项目管理、监理、检测等服务的供应商，不得再参加该采购项目的其他采购活动。</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（三）超过规定时间送达或未按要求密封和标记的投标文件不予受理，投标文件一经收取不予退还。</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（四）投标人应</w:t>
      </w:r>
      <w:r>
        <w:rPr>
          <w:rFonts w:hint="eastAsia" w:ascii="方正仿宋_GBK" w:hAnsi="仿宋" w:eastAsia="仿宋" w:cs="仿宋"/>
          <w:color w:val="auto"/>
          <w:kern w:val="0"/>
          <w:szCs w:val="28"/>
          <w:highlight w:val="none"/>
          <w:lang w:val="en-US" w:eastAsia="zh-CN"/>
        </w:rPr>
        <w:t>充分了解该项目实施环境，</w:t>
      </w:r>
      <w:r>
        <w:rPr>
          <w:rFonts w:hint="eastAsia" w:ascii="方正仿宋_GBK" w:hAnsi="仿宋" w:eastAsia="仿宋" w:cs="仿宋"/>
          <w:color w:val="auto"/>
          <w:kern w:val="0"/>
          <w:szCs w:val="28"/>
          <w:highlight w:val="none"/>
          <w:lang w:eastAsia="zh-CN"/>
        </w:rPr>
        <w:t>对本项目的风险和义务</w:t>
      </w:r>
      <w:r>
        <w:rPr>
          <w:rFonts w:hint="eastAsia" w:ascii="方正仿宋_GBK" w:hAnsi="仿宋" w:eastAsia="仿宋" w:cs="仿宋"/>
          <w:color w:val="auto"/>
          <w:kern w:val="0"/>
          <w:szCs w:val="28"/>
          <w:highlight w:val="none"/>
          <w:lang w:val="en-US" w:eastAsia="zh-CN"/>
        </w:rPr>
        <w:t>应充分</w:t>
      </w:r>
      <w:r>
        <w:rPr>
          <w:rFonts w:hint="eastAsia" w:ascii="方正仿宋_GBK" w:hAnsi="仿宋" w:eastAsia="仿宋" w:cs="仿宋"/>
          <w:color w:val="auto"/>
          <w:kern w:val="0"/>
          <w:szCs w:val="28"/>
          <w:highlight w:val="none"/>
          <w:lang w:eastAsia="zh-CN"/>
        </w:rPr>
        <w:t>了解，并在其投标文件中</w:t>
      </w:r>
      <w:r>
        <w:rPr>
          <w:rFonts w:hint="eastAsia" w:ascii="方正仿宋_GBK" w:hAnsi="仿宋" w:eastAsia="仿宋" w:cs="仿宋"/>
          <w:color w:val="auto"/>
          <w:kern w:val="0"/>
          <w:szCs w:val="28"/>
          <w:highlight w:val="none"/>
          <w:lang w:val="en-US" w:eastAsia="zh-CN"/>
        </w:rPr>
        <w:t>体现</w:t>
      </w:r>
      <w:r>
        <w:rPr>
          <w:rFonts w:hint="eastAsia" w:ascii="方正仿宋_GBK" w:hAnsi="仿宋" w:eastAsia="仿宋" w:cs="仿宋"/>
          <w:color w:val="auto"/>
          <w:kern w:val="0"/>
          <w:szCs w:val="28"/>
          <w:highlight w:val="none"/>
          <w:lang w:eastAsia="zh-CN"/>
        </w:rPr>
        <w:t>。</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（五）投标人自行承担参加本项目的全部费用，责任和风险。</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（六）本项目不接受联合体参与磋商，否则按无效处理，磋商文件中联合体组成相关条款不生效。</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（七）本项目不接受合同分包，否则按无效处理。</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spacing w:before="156" w:after="156" w:line="520" w:lineRule="exact"/>
        <w:ind w:firstLine="482" w:firstLineChars="200"/>
        <w:jc w:val="left"/>
        <w:outlineLvl w:val="1"/>
        <w:rPr>
          <w:rFonts w:eastAsia="仿宋" w:cs="宋体"/>
          <w:b/>
          <w:bCs/>
          <w:color w:val="auto"/>
          <w:szCs w:val="28"/>
          <w:highlight w:val="none"/>
        </w:rPr>
      </w:pPr>
      <w:bookmarkStart w:id="175" w:name="_Toc30472"/>
      <w:bookmarkStart w:id="176" w:name="_Toc27061"/>
      <w:bookmarkStart w:id="177" w:name="_Toc896"/>
      <w:bookmarkStart w:id="178" w:name="_Toc48837301"/>
      <w:bookmarkStart w:id="179" w:name="_Toc1985"/>
      <w:bookmarkStart w:id="180" w:name="_Toc768"/>
      <w:bookmarkStart w:id="181" w:name="_Toc6822"/>
      <w:bookmarkStart w:id="182" w:name="_Toc7931"/>
      <w:bookmarkStart w:id="183" w:name="_Toc333"/>
      <w:bookmarkStart w:id="184" w:name="_Toc29353"/>
      <w:bookmarkStart w:id="185" w:name="_Toc16081"/>
      <w:bookmarkStart w:id="186" w:name="_Toc31253"/>
      <w:bookmarkStart w:id="187" w:name="_Toc5673"/>
      <w:bookmarkStart w:id="188" w:name="_Toc22193"/>
      <w:bookmarkStart w:id="189" w:name="_Toc12314"/>
      <w:bookmarkStart w:id="190" w:name="_Toc15623"/>
      <w:bookmarkStart w:id="191" w:name="_Toc18960"/>
      <w:bookmarkStart w:id="192" w:name="_Toc2063"/>
      <w:bookmarkStart w:id="193" w:name="_Toc27349"/>
      <w:bookmarkStart w:id="194" w:name="_Toc30465"/>
      <w:bookmarkStart w:id="195" w:name="_Toc12603"/>
      <w:bookmarkStart w:id="196" w:name="_Toc3329"/>
      <w:bookmarkStart w:id="197" w:name="_Toc12842"/>
      <w:bookmarkStart w:id="198" w:name="_Toc30321"/>
      <w:bookmarkStart w:id="199" w:name="_Toc16069"/>
      <w:bookmarkStart w:id="200" w:name="_Toc28422"/>
      <w:bookmarkStart w:id="201" w:name="_Toc22782"/>
      <w:r>
        <w:rPr>
          <w:rFonts w:hint="eastAsia" w:eastAsia="仿宋" w:cs="宋体"/>
          <w:b/>
          <w:bCs/>
          <w:color w:val="auto"/>
          <w:szCs w:val="28"/>
          <w:highlight w:val="none"/>
        </w:rPr>
        <w:t>七、联系方式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spacing w:line="520" w:lineRule="exact"/>
        <w:ind w:firstLine="480" w:firstLineChars="200"/>
        <w:jc w:val="left"/>
        <w:rPr>
          <w:rFonts w:hint="eastAsia" w:ascii="方正仿宋_GBK" w:hAnsi="仿宋" w:eastAsia="仿宋" w:cs="仿宋"/>
          <w:color w:val="auto"/>
          <w:kern w:val="0"/>
          <w:szCs w:val="28"/>
          <w:highlight w:val="none"/>
          <w:lang w:eastAsia="zh-CN"/>
        </w:rPr>
      </w:pPr>
      <w:bookmarkStart w:id="202" w:name="_Toc102227313"/>
      <w:r>
        <w:rPr>
          <w:rFonts w:hint="eastAsia" w:ascii="方正仿宋_GBK" w:hAnsi="仿宋" w:eastAsia="仿宋" w:cs="仿宋"/>
          <w:color w:val="auto"/>
          <w:kern w:val="0"/>
          <w:szCs w:val="28"/>
          <w:highlight w:val="none"/>
          <w:lang w:eastAsia="zh-CN"/>
        </w:rPr>
        <w:t>重庆市巴南区第二人民医院</w:t>
      </w:r>
    </w:p>
    <w:p>
      <w:pPr>
        <w:spacing w:line="520" w:lineRule="exact"/>
        <w:ind w:firstLine="480" w:firstLineChars="20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eastAsia="zh-CN"/>
        </w:rPr>
        <w:t>联系人：</w:t>
      </w:r>
      <w:r>
        <w:rPr>
          <w:rFonts w:hint="eastAsia" w:ascii="方正仿宋_GBK" w:hAnsi="仿宋" w:eastAsia="仿宋" w:cs="仿宋"/>
          <w:color w:val="auto"/>
          <w:kern w:val="0"/>
          <w:szCs w:val="28"/>
          <w:highlight w:val="none"/>
          <w:lang w:val="en-US" w:eastAsia="zh-CN"/>
        </w:rPr>
        <w:t>卢</w:t>
      </w:r>
      <w:r>
        <w:rPr>
          <w:rFonts w:hint="eastAsia" w:ascii="方正仿宋_GBK" w:hAnsi="仿宋" w:eastAsia="仿宋" w:cs="仿宋"/>
          <w:color w:val="auto"/>
          <w:kern w:val="0"/>
          <w:szCs w:val="28"/>
          <w:highlight w:val="none"/>
          <w:lang w:eastAsia="zh-CN"/>
        </w:rPr>
        <w:t>老师（</w:t>
      </w:r>
      <w:r>
        <w:rPr>
          <w:rFonts w:hint="eastAsia" w:ascii="方正仿宋_GBK" w:hAnsi="仿宋" w:eastAsia="仿宋" w:cs="仿宋"/>
          <w:color w:val="auto"/>
          <w:kern w:val="0"/>
          <w:szCs w:val="28"/>
          <w:highlight w:val="none"/>
          <w:lang w:val="en-US" w:eastAsia="zh-CN"/>
        </w:rPr>
        <w:t>社区卫生服务中心）</w:t>
      </w:r>
      <w:r>
        <w:rPr>
          <w:rFonts w:hint="eastAsia" w:ascii="方正仿宋_GBK" w:hAnsi="仿宋" w:eastAsia="仿宋" w:cs="仿宋"/>
          <w:color w:val="auto"/>
          <w:kern w:val="0"/>
          <w:szCs w:val="28"/>
          <w:highlight w:val="none"/>
          <w:lang w:eastAsia="zh-CN"/>
        </w:rPr>
        <w:t xml:space="preserve">        联系电话：</w:t>
      </w:r>
      <w:r>
        <w:rPr>
          <w:rFonts w:hint="eastAsia" w:ascii="方正仿宋_GBK" w:hAnsi="仿宋" w:eastAsia="仿宋" w:cs="仿宋"/>
          <w:color w:val="auto"/>
          <w:kern w:val="0"/>
          <w:szCs w:val="28"/>
          <w:highlight w:val="none"/>
          <w:lang w:val="en-US" w:eastAsia="zh-CN"/>
        </w:rPr>
        <w:t>62407804</w:t>
      </w:r>
    </w:p>
    <w:p>
      <w:pPr>
        <w:spacing w:line="520" w:lineRule="exact"/>
        <w:ind w:firstLine="480" w:firstLineChars="20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eastAsia="zh-CN"/>
        </w:rPr>
        <w:t xml:space="preserve">        吴老师（采购）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 xml:space="preserve"> 联系电话：</w:t>
      </w:r>
      <w:r>
        <w:rPr>
          <w:rFonts w:hint="eastAsia" w:ascii="方正仿宋_GBK" w:hAnsi="仿宋" w:eastAsia="仿宋" w:cs="仿宋"/>
          <w:color w:val="auto"/>
          <w:kern w:val="0"/>
          <w:szCs w:val="28"/>
          <w:highlight w:val="none"/>
          <w:lang w:val="en-US" w:eastAsia="zh-CN"/>
        </w:rPr>
        <w:t>62867363</w:t>
      </w:r>
    </w:p>
    <w:p>
      <w:pPr>
        <w:spacing w:line="520" w:lineRule="exact"/>
        <w:ind w:firstLine="480" w:firstLineChars="200"/>
        <w:jc w:val="left"/>
        <w:rPr>
          <w:rFonts w:hint="eastAsia" w:ascii="方正仿宋_GBK" w:hAnsi="仿宋" w:eastAsia="仿宋" w:cs="仿宋"/>
          <w:color w:val="auto"/>
          <w:kern w:val="0"/>
          <w:szCs w:val="28"/>
          <w:highlight w:val="none"/>
          <w:lang w:eastAsia="zh-CN"/>
        </w:rPr>
      </w:pPr>
    </w:p>
    <w:p>
      <w:pPr>
        <w:spacing w:line="520" w:lineRule="exact"/>
        <w:ind w:firstLine="5760" w:firstLineChars="240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eastAsia="zh-CN"/>
        </w:rPr>
        <w:t>重庆市巴南区第二人民医院</w:t>
      </w:r>
    </w:p>
    <w:p>
      <w:pPr>
        <w:spacing w:line="520" w:lineRule="exact"/>
        <w:ind w:firstLine="480" w:firstLineChars="200"/>
        <w:jc w:val="left"/>
        <w:rPr>
          <w:rFonts w:hint="eastAsia" w:ascii="仿宋" w:hAnsi="仿宋" w:eastAsia="仿宋" w:cs="仿宋"/>
          <w:color w:val="auto"/>
        </w:rPr>
      </w:pPr>
      <w:r>
        <w:rPr>
          <w:rFonts w:hint="eastAsia" w:ascii="方正仿宋_GBK" w:hAnsi="仿宋" w:eastAsia="仿宋" w:cs="仿宋"/>
          <w:color w:val="auto"/>
          <w:kern w:val="0"/>
          <w:szCs w:val="28"/>
          <w:highlight w:val="none"/>
          <w:lang w:eastAsia="zh-CN"/>
        </w:rPr>
        <w:t xml:space="preserve">                               </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lang w:eastAsia="zh-CN"/>
        </w:rPr>
        <w:t>202</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年</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lang w:eastAsia="zh-CN"/>
        </w:rPr>
        <w:t>月</w:t>
      </w:r>
      <w:r>
        <w:rPr>
          <w:rFonts w:hint="eastAsia" w:ascii="方正仿宋_GBK" w:hAnsi="仿宋" w:eastAsia="仿宋" w:cs="仿宋"/>
          <w:color w:val="auto"/>
          <w:kern w:val="0"/>
          <w:szCs w:val="28"/>
          <w:highlight w:val="none"/>
          <w:lang w:val="en-US" w:eastAsia="zh-CN"/>
        </w:rPr>
        <w:t>24</w:t>
      </w:r>
      <w:r>
        <w:rPr>
          <w:rFonts w:hint="eastAsia" w:ascii="方正仿宋_GBK" w:hAnsi="仿宋" w:eastAsia="仿宋" w:cs="仿宋"/>
          <w:color w:val="auto"/>
          <w:kern w:val="0"/>
          <w:szCs w:val="28"/>
          <w:highlight w:val="none"/>
          <w:lang w:eastAsia="zh-CN"/>
        </w:rPr>
        <w:t>日</w:t>
      </w:r>
    </w:p>
    <w:p>
      <w:pPr>
        <w:spacing w:line="520" w:lineRule="exact"/>
        <w:ind w:firstLine="480" w:firstLineChars="200"/>
        <w:jc w:val="left"/>
        <w:rPr>
          <w:rFonts w:ascii="方正仿宋_GBK" w:hAnsi="仿宋" w:eastAsia="仿宋" w:cs="仿宋"/>
          <w:color w:val="auto"/>
          <w:kern w:val="0"/>
          <w:szCs w:val="28"/>
          <w:highlight w:val="none"/>
        </w:rPr>
        <w:sectPr>
          <w:footerReference r:id="rId5"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 w:linePitch="312" w:charSpace="0"/>
        </w:sectPr>
      </w:pPr>
    </w:p>
    <w:bookmarkEnd w:id="202"/>
    <w:p>
      <w:pPr>
        <w:pStyle w:val="3"/>
        <w:pageBreakBefore w:val="0"/>
        <w:numPr>
          <w:ilvl w:val="0"/>
          <w:numId w:val="0"/>
        </w:numPr>
        <w:tabs>
          <w:tab w:val="clear" w:pos="3360"/>
        </w:tabs>
        <w:kinsoku/>
        <w:wordWrap/>
        <w:overflowPunct/>
        <w:topLinePunct w:val="0"/>
        <w:autoSpaceDE/>
        <w:autoSpaceDN/>
        <w:bidi w:val="0"/>
        <w:spacing w:before="196" w:after="196" w:line="520" w:lineRule="exact"/>
        <w:ind w:leftChars="0"/>
        <w:textAlignment w:val="auto"/>
        <w:rPr>
          <w:rFonts w:eastAsia="仿宋" w:cs="宋体"/>
          <w:b/>
          <w:bCs/>
          <w:color w:val="auto"/>
          <w:szCs w:val="28"/>
          <w:highlight w:val="none"/>
        </w:rPr>
      </w:pPr>
      <w:bookmarkStart w:id="203" w:name="_Toc8199"/>
      <w:bookmarkStart w:id="204" w:name="_Toc7322"/>
      <w:bookmarkStart w:id="205" w:name="_Toc5040"/>
      <w:bookmarkStart w:id="206" w:name="_Toc2022"/>
      <w:bookmarkStart w:id="207" w:name="_Toc21409"/>
      <w:bookmarkStart w:id="208" w:name="_Toc11698"/>
      <w:bookmarkStart w:id="209" w:name="_Toc20171"/>
      <w:bookmarkStart w:id="210" w:name="_Toc7350"/>
      <w:bookmarkStart w:id="211" w:name="_Toc23459"/>
      <w:bookmarkStart w:id="212" w:name="_Toc7482"/>
      <w:bookmarkStart w:id="213" w:name="_Toc31928"/>
      <w:bookmarkStart w:id="214" w:name="_Toc2578"/>
      <w:bookmarkStart w:id="215" w:name="_Toc1822"/>
      <w:r>
        <w:rPr>
          <w:rFonts w:hint="eastAsia"/>
          <w:color w:val="auto"/>
          <w:szCs w:val="22"/>
          <w:highlight w:val="none"/>
          <w:lang w:eastAsia="zh-CN"/>
        </w:rPr>
        <w:t>第二篇</w:t>
      </w:r>
      <w:r>
        <w:rPr>
          <w:rFonts w:hint="eastAsia"/>
          <w:color w:val="auto"/>
          <w:szCs w:val="22"/>
          <w:highlight w:val="none"/>
          <w:lang w:val="en-US" w:eastAsia="zh-CN"/>
        </w:rPr>
        <w:t xml:space="preserve">  </w:t>
      </w:r>
      <w:r>
        <w:rPr>
          <w:rFonts w:hint="eastAsia"/>
          <w:color w:val="auto"/>
          <w:szCs w:val="22"/>
          <w:highlight w:val="none"/>
        </w:rPr>
        <w:t>采购服务要求</w:t>
      </w:r>
      <w:bookmarkEnd w:id="203"/>
      <w:bookmarkEnd w:id="204"/>
      <w:bookmarkEnd w:id="205"/>
      <w:bookmarkEnd w:id="206"/>
      <w:bookmarkEnd w:id="207"/>
      <w:bookmarkEnd w:id="208"/>
      <w:bookmarkEnd w:id="209"/>
      <w:bookmarkEnd w:id="210"/>
      <w:bookmarkEnd w:id="211"/>
      <w:bookmarkEnd w:id="212"/>
      <w:bookmarkEnd w:id="213"/>
      <w:bookmarkEnd w:id="214"/>
      <w:bookmarkEnd w:id="215"/>
      <w:bookmarkStart w:id="216" w:name="_Toc24848"/>
      <w:bookmarkStart w:id="217" w:name="_Toc421783196"/>
    </w:p>
    <w:bookmarkEnd w:id="216"/>
    <w:p>
      <w:pPr>
        <w:spacing w:line="520" w:lineRule="exact"/>
        <w:ind w:firstLine="438" w:firstLineChars="200"/>
        <w:jc w:val="left"/>
        <w:rPr>
          <w:rFonts w:hint="eastAsia" w:ascii="方正仿宋_GBK" w:hAnsi="仿宋" w:eastAsia="仿宋" w:cs="仿宋"/>
          <w:b/>
          <w:bCs/>
          <w:color w:val="auto"/>
          <w:kern w:val="0"/>
          <w:szCs w:val="28"/>
          <w:highlight w:val="none"/>
          <w:lang w:val="en-US" w:eastAsia="zh-CN"/>
        </w:rPr>
      </w:pPr>
      <w:bookmarkStart w:id="218" w:name="_Toc1636"/>
      <w:bookmarkStart w:id="219" w:name="_Toc21442"/>
      <w:bookmarkStart w:id="220" w:name="_Toc29128"/>
      <w:bookmarkStart w:id="221" w:name="_Toc28663"/>
      <w:bookmarkStart w:id="222" w:name="_Toc8618"/>
      <w:r>
        <w:rPr>
          <w:rFonts w:hint="eastAsia" w:ascii="方正仿宋_GBK" w:hAnsi="仿宋" w:eastAsia="仿宋" w:cs="仿宋"/>
          <w:b/>
          <w:bCs/>
          <w:color w:val="auto"/>
          <w:kern w:val="0"/>
          <w:szCs w:val="28"/>
          <w:highlight w:val="none"/>
          <w:lang w:val="en-US" w:eastAsia="zh-CN"/>
        </w:rPr>
        <w:t>一、采购项目一览表</w:t>
      </w:r>
    </w:p>
    <w:tbl>
      <w:tblPr>
        <w:tblStyle w:val="25"/>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5430"/>
        <w:gridCol w:w="124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07"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序号</w:t>
            </w:r>
          </w:p>
        </w:tc>
        <w:tc>
          <w:tcPr>
            <w:tcW w:w="5430"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采购内容</w:t>
            </w:r>
          </w:p>
        </w:tc>
        <w:tc>
          <w:tcPr>
            <w:tcW w:w="1245"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单位</w:t>
            </w:r>
          </w:p>
        </w:tc>
        <w:tc>
          <w:tcPr>
            <w:tcW w:w="1125"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107"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w:t>
            </w:r>
          </w:p>
        </w:tc>
        <w:tc>
          <w:tcPr>
            <w:tcW w:w="5430"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zh-CN" w:eastAsia="zh-CN"/>
              </w:rPr>
              <w:t>国家基本公共卫生健康体检系统</w:t>
            </w:r>
          </w:p>
        </w:tc>
        <w:tc>
          <w:tcPr>
            <w:tcW w:w="1245"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套</w:t>
            </w:r>
          </w:p>
        </w:tc>
        <w:tc>
          <w:tcPr>
            <w:tcW w:w="1125" w:type="dxa"/>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w:t>
            </w:r>
          </w:p>
        </w:tc>
      </w:tr>
    </w:tbl>
    <w:p>
      <w:pPr>
        <w:spacing w:line="520" w:lineRule="exact"/>
        <w:ind w:firstLine="438" w:firstLineChars="200"/>
        <w:jc w:val="left"/>
        <w:rPr>
          <w:rFonts w:hint="eastAsia" w:ascii="方正仿宋_GBK" w:hAnsi="仿宋" w:eastAsia="仿宋" w:cs="仿宋"/>
          <w:b/>
          <w:bCs/>
          <w:color w:val="auto"/>
          <w:kern w:val="0"/>
          <w:szCs w:val="28"/>
          <w:highlight w:val="none"/>
          <w:lang w:eastAsia="zh-CN"/>
        </w:rPr>
      </w:pPr>
      <w:r>
        <w:rPr>
          <w:rFonts w:hint="eastAsia" w:ascii="方正仿宋_GBK" w:hAnsi="仿宋" w:eastAsia="仿宋" w:cs="仿宋"/>
          <w:b/>
          <w:bCs/>
          <w:color w:val="auto"/>
          <w:kern w:val="0"/>
          <w:szCs w:val="28"/>
          <w:highlight w:val="none"/>
          <w:lang w:val="en-US" w:eastAsia="zh-CN"/>
        </w:rPr>
        <w:t>二、</w:t>
      </w:r>
      <w:r>
        <w:rPr>
          <w:rFonts w:hint="eastAsia" w:ascii="方正仿宋_GBK" w:hAnsi="仿宋" w:eastAsia="仿宋" w:cs="仿宋"/>
          <w:b/>
          <w:bCs/>
          <w:color w:val="auto"/>
          <w:kern w:val="0"/>
          <w:szCs w:val="28"/>
          <w:highlight w:val="none"/>
          <w:lang w:eastAsia="zh-CN"/>
        </w:rPr>
        <w:t>技术要求</w:t>
      </w:r>
    </w:p>
    <w:p>
      <w:pPr>
        <w:spacing w:line="520" w:lineRule="exact"/>
        <w:ind w:firstLine="438" w:firstLineChars="200"/>
        <w:jc w:val="left"/>
        <w:rPr>
          <w:rFonts w:hint="eastAsia"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（一）体检系统参数</w:t>
      </w:r>
      <w:r>
        <w:rPr>
          <w:rFonts w:hint="eastAsia" w:ascii="方正仿宋_GBK" w:hAnsi="仿宋" w:eastAsia="仿宋" w:cs="仿宋"/>
          <w:color w:val="auto"/>
          <w:kern w:val="0"/>
          <w:szCs w:val="28"/>
          <w:highlight w:val="none"/>
          <w:lang w:val="zh-CN" w:eastAsia="zh-CN"/>
        </w:rPr>
        <w:t>要求</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bookmarkStart w:id="223" w:name="_Toc25951"/>
      <w:r>
        <w:rPr>
          <w:rFonts w:hint="default" w:ascii="方正仿宋_GBK" w:hAnsi="仿宋" w:eastAsia="仿宋" w:cs="仿宋"/>
          <w:color w:val="auto"/>
          <w:kern w:val="0"/>
          <w:szCs w:val="28"/>
          <w:highlight w:val="none"/>
          <w:lang w:val="en-US" w:eastAsia="zh-CN"/>
        </w:rPr>
        <w:t>1、体检数据</w:t>
      </w:r>
      <w:r>
        <w:rPr>
          <w:rFonts w:hint="default" w:ascii="方正仿宋_GBK" w:hAnsi="仿宋" w:eastAsia="仿宋" w:cs="仿宋"/>
          <w:color w:val="auto"/>
          <w:kern w:val="0"/>
          <w:szCs w:val="28"/>
          <w:highlight w:val="none"/>
          <w:lang w:val="zh-CN" w:eastAsia="zh-CN"/>
        </w:rPr>
        <w:t>采集</w:t>
      </w:r>
      <w:bookmarkEnd w:id="223"/>
      <w:r>
        <w:rPr>
          <w:rFonts w:hint="default" w:ascii="方正仿宋_GBK" w:hAnsi="仿宋" w:eastAsia="仿宋" w:cs="仿宋"/>
          <w:color w:val="auto"/>
          <w:kern w:val="0"/>
          <w:szCs w:val="28"/>
          <w:highlight w:val="none"/>
          <w:lang w:val="en-US" w:eastAsia="zh-CN"/>
        </w:rPr>
        <w:t>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体检现场信息化、无纸化操作。通过自动的方式采集国家基本公共卫生服务老年人体检项目现行规范要求的信息。</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个人基本信息表</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1）按照国家第三版要求完整提供表格。</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登记</w:t>
      </w:r>
      <w:r>
        <w:rPr>
          <w:rFonts w:hint="default" w:ascii="方正仿宋_GBK" w:hAnsi="仿宋" w:eastAsia="仿宋" w:cs="仿宋"/>
          <w:color w:val="auto"/>
          <w:kern w:val="0"/>
          <w:szCs w:val="28"/>
          <w:highlight w:val="none"/>
          <w:lang w:val="en-US" w:eastAsia="zh-CN"/>
        </w:rPr>
        <w:t>录入</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通过刷居民身份证或医保卡实现个人身份专属识别号。</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摄像头拍照（带时间水印）确保人证合一。</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刷身份证可自动获取个人基本信息，如人员类型等。</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血压</w:t>
      </w:r>
      <w:r>
        <w:rPr>
          <w:rFonts w:hint="default" w:ascii="方正仿宋_GBK" w:hAnsi="仿宋" w:eastAsia="仿宋" w:cs="仿宋"/>
          <w:color w:val="auto"/>
          <w:kern w:val="0"/>
          <w:szCs w:val="28"/>
          <w:highlight w:val="none"/>
          <w:lang w:val="en-US" w:eastAsia="zh-CN"/>
        </w:rPr>
        <w:t>测量</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血压检查子系统：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采集终端与血压计连接，测量后数据自动上传至采集终端。</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自动提醒血压是否</w:t>
      </w:r>
      <w:r>
        <w:rPr>
          <w:rFonts w:hint="default" w:ascii="方正仿宋_GBK" w:hAnsi="仿宋" w:eastAsia="仿宋" w:cs="仿宋"/>
          <w:color w:val="auto"/>
          <w:kern w:val="0"/>
          <w:szCs w:val="28"/>
          <w:highlight w:val="none"/>
          <w:lang w:val="en-US" w:eastAsia="zh-CN"/>
        </w:rPr>
        <w:t>相较去年</w:t>
      </w:r>
      <w:r>
        <w:rPr>
          <w:rFonts w:hint="default" w:ascii="方正仿宋_GBK" w:hAnsi="仿宋" w:eastAsia="仿宋" w:cs="仿宋"/>
          <w:color w:val="auto"/>
          <w:kern w:val="0"/>
          <w:szCs w:val="28"/>
          <w:highlight w:val="none"/>
          <w:lang w:val="zh-CN" w:eastAsia="zh-CN"/>
        </w:rPr>
        <w:t>偏高。</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3）加载历史血压数据</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身高体重</w:t>
      </w:r>
      <w:r>
        <w:rPr>
          <w:rFonts w:hint="default" w:ascii="方正仿宋_GBK" w:hAnsi="仿宋" w:eastAsia="仿宋" w:cs="仿宋"/>
          <w:color w:val="auto"/>
          <w:kern w:val="0"/>
          <w:szCs w:val="28"/>
          <w:highlight w:val="none"/>
          <w:lang w:val="en-US" w:eastAsia="zh-CN"/>
        </w:rPr>
        <w:t>测量</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身高体重检查子系统：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采集终端与身高体重秤连接，身高体重测量后数据自动上传至采集终端。</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BMI根据身高体重自动计算。</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自动提醒超重、肥胖等信息。</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加载历史身高体重及腰围数据。</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5）不录入小数点禁止保存</w:t>
      </w:r>
      <w:r>
        <w:rPr>
          <w:rFonts w:hint="default" w:ascii="方正仿宋_GBK" w:hAnsi="仿宋" w:eastAsia="仿宋" w:cs="仿宋"/>
          <w:color w:val="auto"/>
          <w:kern w:val="0"/>
          <w:szCs w:val="28"/>
          <w:highlight w:val="none"/>
          <w:lang w:val="zh-CN" w:eastAsia="zh-CN"/>
        </w:rPr>
        <w:t>。</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zh-CN" w:eastAsia="zh-CN"/>
        </w:rPr>
        <w:t>（</w:t>
      </w:r>
      <w:r>
        <w:rPr>
          <w:rFonts w:hint="default" w:ascii="方正仿宋_GBK" w:hAnsi="仿宋" w:eastAsia="仿宋" w:cs="仿宋"/>
          <w:color w:val="auto"/>
          <w:kern w:val="0"/>
          <w:szCs w:val="28"/>
          <w:highlight w:val="none"/>
          <w:lang w:val="en-US" w:eastAsia="zh-CN"/>
        </w:rPr>
        <w:t>5</w:t>
      </w:r>
      <w:r>
        <w:rPr>
          <w:rFonts w:hint="default" w:ascii="方正仿宋_GBK" w:hAnsi="仿宋" w:eastAsia="仿宋" w:cs="仿宋"/>
          <w:color w:val="auto"/>
          <w:kern w:val="0"/>
          <w:szCs w:val="28"/>
          <w:highlight w:val="none"/>
          <w:lang w:val="zh-CN" w:eastAsia="zh-CN"/>
        </w:rPr>
        <w:t>）心电</w:t>
      </w:r>
      <w:r>
        <w:rPr>
          <w:rFonts w:hint="default" w:ascii="方正仿宋_GBK" w:hAnsi="仿宋" w:eastAsia="仿宋" w:cs="仿宋"/>
          <w:color w:val="auto"/>
          <w:kern w:val="0"/>
          <w:szCs w:val="28"/>
          <w:highlight w:val="none"/>
          <w:lang w:val="en-US" w:eastAsia="zh-CN"/>
        </w:rPr>
        <w:t>检测</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心电图子系统：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心电工作站要求电脑和心电图连接。</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扫码后心电图机自动加载性别年龄等信息。</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自动生成心电辅助诊断，并支持</w:t>
      </w:r>
      <w:r>
        <w:rPr>
          <w:rFonts w:hint="default" w:ascii="方正仿宋_GBK" w:hAnsi="仿宋" w:eastAsia="仿宋" w:cs="仿宋"/>
          <w:color w:val="auto"/>
          <w:kern w:val="0"/>
          <w:szCs w:val="28"/>
          <w:highlight w:val="none"/>
          <w:lang w:val="en-US" w:eastAsia="zh-CN"/>
        </w:rPr>
        <w:t>线上、线下</w:t>
      </w:r>
      <w:r>
        <w:rPr>
          <w:rFonts w:hint="default" w:ascii="方正仿宋_GBK" w:hAnsi="仿宋" w:eastAsia="仿宋" w:cs="仿宋"/>
          <w:color w:val="auto"/>
          <w:kern w:val="0"/>
          <w:szCs w:val="28"/>
          <w:highlight w:val="none"/>
          <w:lang w:val="zh-CN" w:eastAsia="zh-CN"/>
        </w:rPr>
        <w:t>人工审核心电图并下诊断结论。</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测量心电图时自动加载往年心电结论。</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zh-CN" w:eastAsia="zh-CN"/>
        </w:rPr>
        <w:t>（</w:t>
      </w:r>
      <w:r>
        <w:rPr>
          <w:rFonts w:hint="default" w:ascii="方正仿宋_GBK" w:hAnsi="仿宋" w:eastAsia="仿宋" w:cs="仿宋"/>
          <w:color w:val="auto"/>
          <w:kern w:val="0"/>
          <w:szCs w:val="28"/>
          <w:highlight w:val="none"/>
          <w:lang w:val="en-US" w:eastAsia="zh-CN"/>
        </w:rPr>
        <w:t>6</w:t>
      </w:r>
      <w:r>
        <w:rPr>
          <w:rFonts w:hint="default" w:ascii="方正仿宋_GBK" w:hAnsi="仿宋" w:eastAsia="仿宋" w:cs="仿宋"/>
          <w:color w:val="auto"/>
          <w:kern w:val="0"/>
          <w:szCs w:val="28"/>
          <w:highlight w:val="none"/>
          <w:lang w:val="zh-CN" w:eastAsia="zh-CN"/>
        </w:rPr>
        <w:t>）B超</w:t>
      </w:r>
      <w:r>
        <w:rPr>
          <w:rFonts w:hint="default" w:ascii="方正仿宋_GBK" w:hAnsi="仿宋" w:eastAsia="仿宋" w:cs="仿宋"/>
          <w:color w:val="auto"/>
          <w:kern w:val="0"/>
          <w:szCs w:val="28"/>
          <w:highlight w:val="none"/>
          <w:lang w:val="en-US" w:eastAsia="zh-CN"/>
        </w:rPr>
        <w:t>检查</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B超子系统：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B超工作站可根据性别、年龄自动加载检查模块，例如男性不需加载妇科，女性不需加载前列腺。</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模板可支持修改功能。</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加载历史结论。</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zh-CN" w:eastAsia="zh-CN"/>
        </w:rPr>
        <w:t>（</w:t>
      </w:r>
      <w:r>
        <w:rPr>
          <w:rFonts w:hint="default" w:ascii="方正仿宋_GBK" w:hAnsi="仿宋" w:eastAsia="仿宋" w:cs="仿宋"/>
          <w:color w:val="auto"/>
          <w:kern w:val="0"/>
          <w:szCs w:val="28"/>
          <w:highlight w:val="none"/>
          <w:lang w:val="en-US" w:eastAsia="zh-CN"/>
        </w:rPr>
        <w:t>7</w:t>
      </w:r>
      <w:r>
        <w:rPr>
          <w:rFonts w:hint="default" w:ascii="方正仿宋_GBK" w:hAnsi="仿宋" w:eastAsia="仿宋" w:cs="仿宋"/>
          <w:color w:val="auto"/>
          <w:kern w:val="0"/>
          <w:szCs w:val="28"/>
          <w:highlight w:val="none"/>
          <w:lang w:val="zh-CN" w:eastAsia="zh-CN"/>
        </w:rPr>
        <w:t>）问诊、触诊、听诊</w:t>
      </w:r>
      <w:r>
        <w:rPr>
          <w:rFonts w:hint="default" w:ascii="方正仿宋_GBK" w:hAnsi="仿宋" w:eastAsia="仿宋" w:cs="仿宋"/>
          <w:color w:val="auto"/>
          <w:kern w:val="0"/>
          <w:szCs w:val="28"/>
          <w:highlight w:val="none"/>
          <w:lang w:val="en-US" w:eastAsia="zh-CN"/>
        </w:rPr>
        <w:t>检查</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问诊子系统：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包含一般情况、生活方式、查体信息、辅助检查、现存主要问题、住院用药情况等模块。</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对于所有项目可设置必填选项，必填项进行标识提醒。</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对于重复性录入内容可自动填充。</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用药情况设置常用药品库，并通过药品首字母进行检索添加。</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5）</w:t>
      </w:r>
      <w:r>
        <w:rPr>
          <w:rFonts w:hint="default" w:ascii="方正仿宋_GBK" w:hAnsi="仿宋" w:eastAsia="仿宋" w:cs="仿宋"/>
          <w:color w:val="auto"/>
          <w:kern w:val="0"/>
          <w:szCs w:val="28"/>
          <w:highlight w:val="none"/>
          <w:lang w:val="zh-CN" w:eastAsia="zh-CN"/>
        </w:rPr>
        <w:t>根据体检数据自动评判并填充健康评价异常信息内容。</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6）</w:t>
      </w:r>
      <w:r>
        <w:rPr>
          <w:rFonts w:hint="default" w:ascii="方正仿宋_GBK" w:hAnsi="仿宋" w:eastAsia="仿宋" w:cs="仿宋"/>
          <w:color w:val="auto"/>
          <w:kern w:val="0"/>
          <w:szCs w:val="28"/>
          <w:highlight w:val="none"/>
          <w:lang w:val="zh-CN" w:eastAsia="zh-CN"/>
        </w:rPr>
        <w:t>根据体检情况自动勾选填充健康指导内容。</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7）</w:t>
      </w:r>
      <w:r>
        <w:rPr>
          <w:rFonts w:hint="default" w:ascii="方正仿宋_GBK" w:hAnsi="仿宋" w:eastAsia="仿宋" w:cs="仿宋"/>
          <w:color w:val="auto"/>
          <w:kern w:val="0"/>
          <w:szCs w:val="28"/>
          <w:highlight w:val="none"/>
          <w:lang w:val="zh-CN" w:eastAsia="zh-CN"/>
        </w:rPr>
        <w:t>包含肺结核筛查功能。</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8）</w:t>
      </w:r>
      <w:r>
        <w:rPr>
          <w:rFonts w:hint="default" w:ascii="方正仿宋_GBK" w:hAnsi="仿宋" w:eastAsia="仿宋" w:cs="仿宋"/>
          <w:color w:val="auto"/>
          <w:kern w:val="0"/>
          <w:szCs w:val="28"/>
          <w:highlight w:val="none"/>
          <w:lang w:val="zh-CN" w:eastAsia="zh-CN"/>
        </w:rPr>
        <w:t>自动加载历史数据，提高工作效率及数据延展性。</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（8）</w:t>
      </w:r>
      <w:r>
        <w:rPr>
          <w:rFonts w:hint="default" w:ascii="方正仿宋_GBK" w:hAnsi="仿宋" w:eastAsia="仿宋" w:cs="仿宋"/>
          <w:color w:val="auto"/>
          <w:kern w:val="0"/>
          <w:szCs w:val="28"/>
          <w:highlight w:val="none"/>
          <w:lang w:val="zh-CN" w:eastAsia="zh-CN"/>
        </w:rPr>
        <w:t>自理能力</w:t>
      </w:r>
      <w:r>
        <w:rPr>
          <w:rFonts w:hint="default" w:ascii="方正仿宋_GBK" w:hAnsi="仿宋" w:eastAsia="仿宋" w:cs="仿宋"/>
          <w:color w:val="auto"/>
          <w:kern w:val="0"/>
          <w:szCs w:val="28"/>
          <w:highlight w:val="none"/>
          <w:lang w:val="en-US" w:eastAsia="zh-CN"/>
        </w:rPr>
        <w:t>检查系统</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1）按照国家第三版要求完整提供表格。</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（9）</w:t>
      </w:r>
      <w:r>
        <w:rPr>
          <w:rFonts w:hint="default" w:ascii="方正仿宋_GBK" w:hAnsi="仿宋" w:eastAsia="仿宋" w:cs="仿宋"/>
          <w:color w:val="auto"/>
          <w:kern w:val="0"/>
          <w:szCs w:val="28"/>
          <w:highlight w:val="none"/>
          <w:lang w:val="zh-CN" w:eastAsia="zh-CN"/>
        </w:rPr>
        <w:t>中医体质</w:t>
      </w:r>
      <w:r>
        <w:rPr>
          <w:rFonts w:hint="default" w:ascii="方正仿宋_GBK" w:hAnsi="仿宋" w:eastAsia="仿宋" w:cs="仿宋"/>
          <w:color w:val="auto"/>
          <w:kern w:val="0"/>
          <w:szCs w:val="28"/>
          <w:highlight w:val="none"/>
          <w:lang w:val="en-US" w:eastAsia="zh-CN"/>
        </w:rPr>
        <w:t>辨识评估系统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信息化采集中医体质辨识问题。</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自动分析符合国家标准的中医体质辨识结论。</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根据身高体重采集终端采集完BMI和腰围后自动填写中医体质辨识中的问题。</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中医体质辨识出现结论互斥时提醒功能。</w:t>
      </w:r>
      <w:bookmarkStart w:id="224" w:name="_Toc25322"/>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（10）采集数据</w:t>
      </w:r>
      <w:r>
        <w:rPr>
          <w:rFonts w:hint="default" w:ascii="方正仿宋_GBK" w:hAnsi="仿宋" w:eastAsia="仿宋" w:cs="仿宋"/>
          <w:color w:val="auto"/>
          <w:kern w:val="0"/>
          <w:szCs w:val="28"/>
          <w:highlight w:val="none"/>
          <w:lang w:val="zh-CN" w:eastAsia="zh-CN"/>
        </w:rPr>
        <w:t>质控</w:t>
      </w:r>
      <w:bookmarkEnd w:id="224"/>
      <w:r>
        <w:rPr>
          <w:rFonts w:hint="default" w:ascii="方正仿宋_GBK" w:hAnsi="仿宋" w:eastAsia="仿宋" w:cs="仿宋"/>
          <w:color w:val="auto"/>
          <w:kern w:val="0"/>
          <w:szCs w:val="28"/>
          <w:highlight w:val="none"/>
          <w:lang w:val="en-US" w:eastAsia="zh-CN"/>
        </w:rPr>
        <w:t>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完整性</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数据完整性，将采集模块采集的所有数据全部上传公卫平台，不存在缺项漏项等情况，如存在缺项漏项情况，现场系统会自动提示。</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逻辑性</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数据逻辑性，体检采集的数据及生成的健康评价等数据不得存在逻辑性错误。</w:t>
      </w:r>
      <w:r>
        <w:rPr>
          <w:rFonts w:hint="default" w:ascii="方正仿宋_GBK" w:hAnsi="仿宋" w:eastAsia="仿宋" w:cs="仿宋"/>
          <w:color w:val="auto"/>
          <w:kern w:val="0"/>
          <w:szCs w:val="28"/>
          <w:highlight w:val="none"/>
          <w:lang w:val="en-US" w:eastAsia="zh-CN"/>
        </w:rPr>
        <w:t>健康评价有异常的每一条都和健康教育相对应。</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w:t>
      </w:r>
      <w:r>
        <w:rPr>
          <w:rFonts w:hint="eastAsia"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en-US" w:eastAsia="zh-CN"/>
        </w:rPr>
        <w:t>）</w:t>
      </w:r>
      <w:r>
        <w:rPr>
          <w:rFonts w:hint="default" w:ascii="方正仿宋_GBK" w:hAnsi="仿宋" w:eastAsia="仿宋" w:cs="仿宋"/>
          <w:color w:val="auto"/>
          <w:kern w:val="0"/>
          <w:szCs w:val="28"/>
          <w:highlight w:val="none"/>
          <w:lang w:val="zh-CN" w:eastAsia="zh-CN"/>
        </w:rPr>
        <w:t>打印</w:t>
      </w:r>
      <w:r>
        <w:rPr>
          <w:rFonts w:hint="default" w:ascii="方正仿宋_GBK" w:hAnsi="仿宋" w:eastAsia="仿宋" w:cs="仿宋"/>
          <w:color w:val="auto"/>
          <w:kern w:val="0"/>
          <w:szCs w:val="28"/>
          <w:highlight w:val="none"/>
          <w:lang w:val="en-US" w:eastAsia="zh-CN"/>
        </w:rPr>
        <w:t>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具备完善的打印系统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台账系统：采集信息完成后，需要按机构出具台账，通过台账可以查看查体人的具体信息，包括身份证号、性别、年龄、联系电话等信息。</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体检报告系统：采集模块完成后，针对每一个体检人员出具纸质体检报告，根据体检报告的具体内容，智能分析，并个性化的给出体检建议。例如针对血压高的人出具降血压的建议，针对血糖高的人出具降血糖的建议。体检报告需要封面，外观整洁大方，突出公共卫生及健康主题。异常标识，报告中的异常的数据需要醒目标识。</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体检档案系统：信息传输模块完成后，出具符合公卫要求的纸质体检档案，档案上的信息需要与公卫平台上传上的数据必须一致。</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数据分析报告系统：具备识别与智能分析功能，自动识别体检中高危人群，例如对血压、血糖、心电图、B超等存在异常人群自动分析并出具报表。对于各街道工作进展的信息，需提供各类统计报表，如按天统计各街道的工作进度情况等，并以图形的方式展现出来（如饼形图、柱状图），供相关领导查看以提供决策依据。</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eastAsia"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en-US" w:eastAsia="zh-CN"/>
        </w:rPr>
        <w:t>）</w:t>
      </w:r>
      <w:r>
        <w:rPr>
          <w:rFonts w:hint="default" w:ascii="方正仿宋_GBK" w:hAnsi="仿宋" w:eastAsia="仿宋" w:cs="仿宋"/>
          <w:color w:val="auto"/>
          <w:kern w:val="0"/>
          <w:szCs w:val="28"/>
          <w:highlight w:val="none"/>
          <w:lang w:val="zh-CN" w:eastAsia="zh-CN"/>
        </w:rPr>
        <w:t>系统对接</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公卫平台</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a</w:t>
      </w:r>
      <w:r>
        <w:rPr>
          <w:rFonts w:hint="default" w:ascii="方正仿宋_GBK" w:hAnsi="仿宋" w:eastAsia="仿宋" w:cs="仿宋"/>
          <w:color w:val="auto"/>
          <w:kern w:val="0"/>
          <w:szCs w:val="28"/>
          <w:highlight w:val="none"/>
          <w:lang w:val="zh-CN" w:eastAsia="zh-CN"/>
        </w:rPr>
        <w:t>数据能集成、保存、自动生成，可将信息采集模块采集的数据，使用信息化的技术手段按照招标人要求上传到公卫平台。</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b</w:t>
      </w:r>
      <w:r>
        <w:rPr>
          <w:rFonts w:hint="default" w:ascii="方正仿宋_GBK" w:hAnsi="仿宋" w:eastAsia="仿宋" w:cs="仿宋"/>
          <w:color w:val="auto"/>
          <w:kern w:val="0"/>
          <w:szCs w:val="28"/>
          <w:highlight w:val="none"/>
          <w:lang w:val="zh-CN" w:eastAsia="zh-CN"/>
        </w:rPr>
        <w:t>上传接口不局限于WebService、Http等方式。</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c</w:t>
      </w:r>
      <w:r>
        <w:rPr>
          <w:rFonts w:hint="default" w:ascii="方正仿宋_GBK" w:hAnsi="仿宋" w:eastAsia="仿宋" w:cs="仿宋"/>
          <w:color w:val="auto"/>
          <w:kern w:val="0"/>
          <w:szCs w:val="28"/>
          <w:highlight w:val="none"/>
          <w:lang w:val="zh-CN" w:eastAsia="zh-CN"/>
        </w:rPr>
        <w:t>确定所传数据符合公共卫生考核要求，不存在缺项漏项、逻辑判断错误等情况。</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d</w:t>
      </w:r>
      <w:r>
        <w:rPr>
          <w:rFonts w:hint="default" w:ascii="方正仿宋_GBK" w:hAnsi="仿宋" w:eastAsia="仿宋" w:cs="仿宋"/>
          <w:color w:val="auto"/>
          <w:kern w:val="0"/>
          <w:szCs w:val="28"/>
          <w:highlight w:val="none"/>
          <w:lang w:val="zh-CN" w:eastAsia="zh-CN"/>
        </w:rPr>
        <w:t>数据一致性，体检档案必须与采集的数据保持一致性。</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e</w:t>
      </w:r>
      <w:r>
        <w:rPr>
          <w:rFonts w:hint="default" w:ascii="方正仿宋_GBK" w:hAnsi="仿宋" w:eastAsia="仿宋" w:cs="仿宋"/>
          <w:color w:val="auto"/>
          <w:kern w:val="0"/>
          <w:szCs w:val="28"/>
          <w:highlight w:val="none"/>
          <w:lang w:val="zh-CN" w:eastAsia="zh-CN"/>
        </w:rPr>
        <w:t>上传及时性，采集模块采集完成后，需在2</w:t>
      </w:r>
      <w:r>
        <w:rPr>
          <w:rFonts w:hint="default" w:ascii="方正仿宋_GBK" w:hAnsi="仿宋" w:eastAsia="仿宋" w:cs="仿宋"/>
          <w:color w:val="auto"/>
          <w:kern w:val="0"/>
          <w:szCs w:val="28"/>
          <w:highlight w:val="none"/>
          <w:lang w:val="en-US" w:eastAsia="zh-CN"/>
        </w:rPr>
        <w:t>天</w:t>
      </w:r>
      <w:r>
        <w:rPr>
          <w:rFonts w:hint="default" w:ascii="方正仿宋_GBK" w:hAnsi="仿宋" w:eastAsia="仿宋" w:cs="仿宋"/>
          <w:color w:val="auto"/>
          <w:kern w:val="0"/>
          <w:szCs w:val="28"/>
          <w:highlight w:val="none"/>
          <w:lang w:val="zh-CN" w:eastAsia="zh-CN"/>
        </w:rPr>
        <w:t>内上传到公卫平台。</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Lis</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配合</w:t>
      </w:r>
      <w:r>
        <w:rPr>
          <w:rFonts w:hint="default" w:ascii="方正仿宋_GBK" w:hAnsi="仿宋" w:eastAsia="仿宋" w:cs="仿宋"/>
          <w:color w:val="auto"/>
          <w:kern w:val="0"/>
          <w:szCs w:val="28"/>
          <w:highlight w:val="none"/>
          <w:lang w:val="zh-CN" w:eastAsia="zh-CN"/>
        </w:rPr>
        <w:t>对接第三方lis系统、原生lis系统、第三方检验系统等多方检验系统，将检验数据提取、整合、上传。</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w:t>
      </w:r>
      <w:r>
        <w:rPr>
          <w:rFonts w:hint="eastAsia"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en-US" w:eastAsia="zh-CN"/>
        </w:rPr>
        <w:t>）</w:t>
      </w:r>
      <w:r>
        <w:rPr>
          <w:rFonts w:hint="default" w:ascii="方正仿宋_GBK" w:hAnsi="仿宋" w:eastAsia="仿宋" w:cs="仿宋"/>
          <w:color w:val="auto"/>
          <w:kern w:val="0"/>
          <w:szCs w:val="28"/>
          <w:highlight w:val="none"/>
          <w:lang w:val="zh-CN" w:eastAsia="zh-CN"/>
        </w:rPr>
        <w:t>运营管理平台</w:t>
      </w:r>
      <w:r>
        <w:rPr>
          <w:rFonts w:hint="default" w:ascii="方正仿宋_GBK" w:hAnsi="仿宋" w:eastAsia="仿宋" w:cs="仿宋"/>
          <w:color w:val="auto"/>
          <w:kern w:val="0"/>
          <w:szCs w:val="28"/>
          <w:highlight w:val="none"/>
          <w:lang w:val="en-US" w:eastAsia="zh-CN"/>
        </w:rPr>
        <w:t>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运营管理平台管理用户信息、机构信息及相关配置、数据审核功能、在线修改功能、工作流程提醒。主要包括的功能有：用户管理、角色权限管理、机构信息管理、机构配置、医生签名管理、报告审核、档案审核、体检移库存档、中医体制审核、心电审核、体检在线修改、物流管理、发布打印任务及打印任务管理、体检数据重新上传审批流程、报表导出、每日体检数据统计、体检流程管理、微信公众号查看、微信公众号定期消息推送体检信息、工作提醒、物流消息推送等功能。</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w:t>
      </w:r>
      <w:r>
        <w:rPr>
          <w:rFonts w:hint="eastAsia"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en-US" w:eastAsia="zh-CN"/>
        </w:rPr>
        <w:t>）</w:t>
      </w:r>
      <w:r>
        <w:rPr>
          <w:rFonts w:hint="default" w:ascii="方正仿宋_GBK" w:hAnsi="仿宋" w:eastAsia="仿宋" w:cs="仿宋"/>
          <w:color w:val="auto"/>
          <w:kern w:val="0"/>
          <w:szCs w:val="28"/>
          <w:highlight w:val="none"/>
          <w:lang w:val="zh-CN" w:eastAsia="zh-CN"/>
        </w:rPr>
        <w:t>健康评价</w:t>
      </w:r>
      <w:r>
        <w:rPr>
          <w:rFonts w:hint="default" w:ascii="方正仿宋_GBK" w:hAnsi="仿宋" w:eastAsia="仿宋" w:cs="仿宋"/>
          <w:color w:val="auto"/>
          <w:kern w:val="0"/>
          <w:szCs w:val="28"/>
          <w:highlight w:val="none"/>
          <w:lang w:val="en-US" w:eastAsia="zh-CN"/>
        </w:rPr>
        <w:t>系统</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系统分为运营端、评价标准管理端、对外接口服务三部分。</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运营端：为管理员、运营人员、运维人员提供基础信息管理功能。</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评价标准管理端：为医院人员提供评价标准管理功能，为了满足运营人员、运维人员对于评价标准的管理需求，这两类人员可以从运营端（点击评价模板名称或医院名称）跳转到评价标准管理端，进而进行评价标准管理工作。</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对外接口服务：为健康体检系统提供对外接口，可以根据体检信息，自动调用相应的评价标准，并输出档案评价内容。</w:t>
      </w:r>
    </w:p>
    <w:p>
      <w:pPr>
        <w:spacing w:line="520" w:lineRule="exact"/>
        <w:ind w:firstLine="438" w:firstLineChars="200"/>
        <w:jc w:val="left"/>
        <w:rPr>
          <w:rFonts w:hint="eastAsia"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5）自动生成个性化的健康指导评价结论，无需医生再次修改且满足考核要求。</w:t>
      </w:r>
    </w:p>
    <w:p>
      <w:pPr>
        <w:spacing w:line="520" w:lineRule="exact"/>
        <w:ind w:firstLine="438" w:firstLineChars="200"/>
        <w:jc w:val="left"/>
        <w:rPr>
          <w:rFonts w:hint="eastAsia"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2.</w:t>
      </w:r>
      <w:r>
        <w:rPr>
          <w:rFonts w:hint="eastAsia" w:ascii="方正仿宋_GBK" w:hAnsi="仿宋" w:eastAsia="仿宋" w:cs="仿宋"/>
          <w:color w:val="auto"/>
          <w:kern w:val="0"/>
          <w:szCs w:val="28"/>
          <w:highlight w:val="none"/>
          <w:lang w:val="zh-CN" w:eastAsia="zh-CN"/>
        </w:rPr>
        <w:t>设施设备</w:t>
      </w:r>
      <w:r>
        <w:rPr>
          <w:rFonts w:hint="eastAsia" w:ascii="方正仿宋_GBK" w:hAnsi="仿宋" w:eastAsia="仿宋" w:cs="仿宋"/>
          <w:color w:val="auto"/>
          <w:kern w:val="0"/>
          <w:szCs w:val="28"/>
          <w:highlight w:val="none"/>
          <w:lang w:val="en-US" w:eastAsia="zh-CN"/>
        </w:rPr>
        <w:t>功能</w:t>
      </w:r>
      <w:r>
        <w:rPr>
          <w:rFonts w:hint="eastAsia" w:ascii="方正仿宋_GBK" w:hAnsi="仿宋" w:eastAsia="仿宋" w:cs="仿宋"/>
          <w:color w:val="auto"/>
          <w:kern w:val="0"/>
          <w:szCs w:val="28"/>
          <w:highlight w:val="none"/>
          <w:lang w:val="zh-CN" w:eastAsia="zh-CN"/>
        </w:rPr>
        <w:t>要求</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通过信息化设施设备采集体检对象的一般体格检查、检验等检查数据。</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对接医院检验（实验室生化、血常规、B超检查等设施设备。</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支持院内、院外开展信息化体检，在没有互联网的情况下也可正常开展体检。</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具备数据管理功能，支持体检后</w:t>
      </w: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日内将个人基本信息表、体检表、中医体质辨识上传至重庆市巴南区基本公卫平台，信息保密。</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（5）</w:t>
      </w:r>
      <w:r>
        <w:rPr>
          <w:rFonts w:hint="default" w:ascii="方正仿宋_GBK" w:hAnsi="仿宋" w:eastAsia="仿宋" w:cs="仿宋"/>
          <w:color w:val="auto"/>
          <w:kern w:val="0"/>
          <w:szCs w:val="28"/>
          <w:highlight w:val="none"/>
          <w:lang w:val="zh-CN" w:eastAsia="zh-CN"/>
        </w:rPr>
        <w:t>后台管理系统满足医院对个人基本信息表、健康评价及指导填写规范个性化需求。</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（6）</w:t>
      </w:r>
      <w:r>
        <w:rPr>
          <w:rFonts w:hint="default" w:ascii="方正仿宋_GBK" w:hAnsi="仿宋" w:eastAsia="仿宋" w:cs="仿宋"/>
          <w:color w:val="auto"/>
          <w:kern w:val="0"/>
          <w:szCs w:val="28"/>
          <w:highlight w:val="none"/>
          <w:lang w:val="zh-CN" w:eastAsia="zh-CN"/>
        </w:rPr>
        <w:t>后台管理系统支持体检报告及档案单份打印及批量打印。</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（7）</w:t>
      </w:r>
      <w:r>
        <w:rPr>
          <w:rFonts w:hint="default" w:ascii="方正仿宋_GBK" w:hAnsi="仿宋" w:eastAsia="仿宋" w:cs="仿宋"/>
          <w:color w:val="auto"/>
          <w:kern w:val="0"/>
          <w:szCs w:val="28"/>
          <w:highlight w:val="none"/>
          <w:lang w:val="zh-CN" w:eastAsia="zh-CN"/>
        </w:rPr>
        <w:t>根据居民体检数据自动生成个性化健康评价及指导，同时上传至公卫平台。体检数据及自动生成的健康评价规范及指导需要符合巴南区考核标准。</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（8）</w:t>
      </w:r>
      <w:r>
        <w:rPr>
          <w:rFonts w:hint="default" w:ascii="方正仿宋_GBK" w:hAnsi="仿宋" w:eastAsia="仿宋" w:cs="仿宋"/>
          <w:color w:val="auto"/>
          <w:kern w:val="0"/>
          <w:szCs w:val="28"/>
          <w:highlight w:val="none"/>
          <w:lang w:val="zh-CN" w:eastAsia="zh-CN"/>
        </w:rPr>
        <w:t>体检人关注医院公众号可查询个人体检结果。</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（9）</w:t>
      </w:r>
      <w:r>
        <w:rPr>
          <w:rFonts w:hint="default" w:ascii="方正仿宋_GBK" w:hAnsi="仿宋" w:eastAsia="仿宋" w:cs="仿宋"/>
          <w:color w:val="auto"/>
          <w:kern w:val="0"/>
          <w:szCs w:val="28"/>
          <w:highlight w:val="none"/>
          <w:lang w:val="zh-CN" w:eastAsia="zh-CN"/>
        </w:rPr>
        <w:t>体检后两日内可打印规范、完整的体检报告。</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（10）</w:t>
      </w:r>
      <w:r>
        <w:rPr>
          <w:rFonts w:hint="default" w:ascii="方正仿宋_GBK" w:hAnsi="仿宋" w:eastAsia="仿宋" w:cs="仿宋"/>
          <w:color w:val="auto"/>
          <w:kern w:val="0"/>
          <w:szCs w:val="28"/>
          <w:highlight w:val="none"/>
          <w:lang w:val="zh-CN" w:eastAsia="zh-CN"/>
        </w:rPr>
        <w:t>符合国家、卫生部等各种标准和规范，符合医院实际需求。</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（11）</w:t>
      </w:r>
      <w:r>
        <w:rPr>
          <w:rFonts w:hint="default" w:ascii="方正仿宋_GBK" w:hAnsi="仿宋" w:eastAsia="仿宋" w:cs="仿宋"/>
          <w:color w:val="auto"/>
          <w:kern w:val="0"/>
          <w:szCs w:val="28"/>
          <w:highlight w:val="none"/>
          <w:lang w:val="zh-CN" w:eastAsia="zh-CN"/>
        </w:rPr>
        <w:t>各采集终端能对数据进行存储、质控、缺漏项提醒、体检任务提醒及数据自动汇总等功能。</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（12）</w:t>
      </w:r>
      <w:r>
        <w:rPr>
          <w:rFonts w:hint="default" w:ascii="方正仿宋_GBK" w:hAnsi="仿宋" w:eastAsia="仿宋" w:cs="仿宋"/>
          <w:color w:val="auto"/>
          <w:kern w:val="0"/>
          <w:szCs w:val="28"/>
          <w:highlight w:val="none"/>
          <w:lang w:val="zh-CN" w:eastAsia="zh-CN"/>
        </w:rPr>
        <w:t>身高体重采集终端测量身高体重时需要加载往年历史数据方便对比BMI变化情况；问诊采集终端中生活习惯及口腔等加载历史数据便于提高工作效率及数据延展性，用药模块需提醒往年体检用药信息；B超工作站和心电工作站显示历史结论;心电工作站支持心电图结论审核功能。</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（13）</w:t>
      </w:r>
      <w:r>
        <w:rPr>
          <w:rFonts w:hint="default" w:ascii="方正仿宋_GBK" w:hAnsi="仿宋" w:eastAsia="仿宋" w:cs="仿宋"/>
          <w:color w:val="auto"/>
          <w:kern w:val="0"/>
          <w:szCs w:val="28"/>
          <w:highlight w:val="none"/>
          <w:lang w:val="zh-CN" w:eastAsia="zh-CN"/>
        </w:rPr>
        <w:t>信息登记模块可导入台账、导出基本台账等功能，可对条码号生成规则及个数灵活配置，能够采集居民图像及时间水印等功能。</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（14）</w:t>
      </w:r>
      <w:r>
        <w:rPr>
          <w:rFonts w:hint="default" w:ascii="方正仿宋_GBK" w:hAnsi="仿宋" w:eastAsia="仿宋" w:cs="仿宋"/>
          <w:color w:val="auto"/>
          <w:kern w:val="0"/>
          <w:szCs w:val="28"/>
          <w:highlight w:val="none"/>
          <w:lang w:val="zh-CN" w:eastAsia="zh-CN"/>
        </w:rPr>
        <w:t>包含后台管理系统，可直观呈现体检缺项模块并能针对缺项信息修改功能。</w:t>
      </w:r>
    </w:p>
    <w:p>
      <w:pPr>
        <w:spacing w:line="520" w:lineRule="exact"/>
        <w:ind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（15）</w:t>
      </w:r>
      <w:r>
        <w:rPr>
          <w:rFonts w:hint="default" w:ascii="方正仿宋_GBK" w:hAnsi="仿宋" w:eastAsia="仿宋" w:cs="仿宋"/>
          <w:color w:val="auto"/>
          <w:kern w:val="0"/>
          <w:szCs w:val="28"/>
          <w:highlight w:val="none"/>
          <w:lang w:val="zh-CN" w:eastAsia="zh-CN"/>
        </w:rPr>
        <w:t>查询并导出健康检查数据，并能对常见病、高发病及其它特殊人群（包括高血压、糖尿病等）进行统计，可有效开展慢病随访等服务工作。</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（16）</w:t>
      </w:r>
      <w:r>
        <w:rPr>
          <w:rFonts w:hint="default" w:ascii="方正仿宋_GBK" w:hAnsi="仿宋" w:eastAsia="仿宋" w:cs="仿宋"/>
          <w:color w:val="auto"/>
          <w:kern w:val="0"/>
          <w:szCs w:val="28"/>
          <w:highlight w:val="none"/>
          <w:lang w:val="en-US" w:eastAsia="zh-CN"/>
        </w:rPr>
        <w:t>现场刷身份证立马识别档案在哪个机构，责任医生是谁？电话是多少？</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（17）</w:t>
      </w:r>
      <w:r>
        <w:rPr>
          <w:rFonts w:hint="default" w:ascii="方正仿宋_GBK" w:hAnsi="仿宋" w:eastAsia="仿宋" w:cs="仿宋"/>
          <w:color w:val="auto"/>
          <w:kern w:val="0"/>
          <w:szCs w:val="28"/>
          <w:highlight w:val="none"/>
          <w:lang w:val="en-US" w:eastAsia="zh-CN"/>
        </w:rPr>
        <w:t>本年度有体检记录，现场刷身份证提示重复体检。</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（18）</w:t>
      </w:r>
      <w:r>
        <w:rPr>
          <w:rFonts w:hint="default" w:ascii="方正仿宋_GBK" w:hAnsi="仿宋" w:eastAsia="仿宋" w:cs="仿宋"/>
          <w:color w:val="auto"/>
          <w:kern w:val="0"/>
          <w:szCs w:val="28"/>
          <w:highlight w:val="none"/>
          <w:lang w:val="en-US" w:eastAsia="zh-CN"/>
        </w:rPr>
        <w:t>本年度64岁即将满65岁人群，体检日期更新在生日满之后。</w:t>
      </w:r>
    </w:p>
    <w:p>
      <w:pPr>
        <w:spacing w:line="520" w:lineRule="exact"/>
        <w:ind w:firstLine="438" w:firstLineChars="20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（19）</w:t>
      </w:r>
      <w:r>
        <w:rPr>
          <w:rFonts w:hint="default" w:ascii="方正仿宋_GBK" w:hAnsi="仿宋" w:eastAsia="仿宋" w:cs="仿宋"/>
          <w:color w:val="auto"/>
          <w:kern w:val="0"/>
          <w:szCs w:val="28"/>
          <w:highlight w:val="none"/>
          <w:lang w:val="en-US" w:eastAsia="zh-CN"/>
        </w:rPr>
        <w:t>公卫体检表自动备注在什么地点参加体检，并附上日期电话。</w:t>
      </w:r>
    </w:p>
    <w:p>
      <w:pPr>
        <w:spacing w:line="520" w:lineRule="exact"/>
        <w:ind w:firstLine="438" w:firstLineChars="200"/>
        <w:jc w:val="left"/>
        <w:rPr>
          <w:rFonts w:hint="default" w:ascii="Times New Roman" w:hAnsi="Times New Roman" w:eastAsia="方正仿宋_GBK" w:cs="Times New Roman"/>
          <w:color w:val="auto"/>
          <w:sz w:val="32"/>
          <w:szCs w:val="32"/>
          <w:lang w:val="zh-CN" w:eastAsia="zh-CN"/>
        </w:rPr>
      </w:pPr>
      <w:r>
        <w:rPr>
          <w:rFonts w:hint="eastAsia" w:ascii="方正仿宋_GBK" w:hAnsi="仿宋" w:eastAsia="仿宋" w:cs="仿宋"/>
          <w:color w:val="auto"/>
          <w:kern w:val="0"/>
          <w:szCs w:val="28"/>
          <w:highlight w:val="none"/>
          <w:lang w:val="en-US" w:eastAsia="zh-CN"/>
        </w:rPr>
        <w:t>（20）</w:t>
      </w:r>
      <w:r>
        <w:rPr>
          <w:rFonts w:hint="default" w:ascii="方正仿宋_GBK" w:hAnsi="仿宋" w:eastAsia="仿宋" w:cs="仿宋"/>
          <w:color w:val="auto"/>
          <w:kern w:val="0"/>
          <w:szCs w:val="28"/>
          <w:highlight w:val="none"/>
          <w:lang w:val="en-US" w:eastAsia="zh-CN"/>
        </w:rPr>
        <w:t>实时在线统计导出异常名单及所需各类表格。</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方正黑体_GBK" w:hAnsi="方正黑体_GBK" w:eastAsia="方正黑体_GBK" w:cs="方正黑体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方正黑体_GBK" w:hAnsi="方正黑体_GBK" w:eastAsia="方正黑体_GBK" w:cs="方正黑体_GBK"/>
          <w:b w:val="0"/>
          <w:bCs/>
          <w:sz w:val="32"/>
          <w:szCs w:val="32"/>
          <w:lang w:val="en-US" w:eastAsia="zh-CN"/>
        </w:rPr>
      </w:pPr>
    </w:p>
    <w:p>
      <w:pPr>
        <w:spacing w:line="520" w:lineRule="exact"/>
        <w:ind w:firstLine="438" w:firstLineChars="200"/>
        <w:jc w:val="left"/>
        <w:rPr>
          <w:rFonts w:hint="eastAsia" w:ascii="方正仿宋_GBK" w:hAnsi="仿宋" w:eastAsia="仿宋" w:cs="仿宋"/>
          <w:b/>
          <w:bCs/>
          <w:color w:val="auto"/>
          <w:kern w:val="0"/>
          <w:szCs w:val="28"/>
          <w:highlight w:val="none"/>
          <w:lang w:val="zh-CN" w:eastAsia="zh-CN"/>
        </w:rPr>
      </w:pPr>
      <w:r>
        <w:rPr>
          <w:rFonts w:hint="eastAsia" w:ascii="方正仿宋_GBK" w:hAnsi="仿宋" w:eastAsia="仿宋" w:cs="仿宋"/>
          <w:b/>
          <w:bCs/>
          <w:color w:val="auto"/>
          <w:kern w:val="0"/>
          <w:szCs w:val="28"/>
          <w:highlight w:val="none"/>
          <w:lang w:val="en-US" w:eastAsia="zh-CN"/>
        </w:rPr>
        <w:t>三、配置</w:t>
      </w:r>
      <w:r>
        <w:rPr>
          <w:rFonts w:hint="eastAsia" w:ascii="方正仿宋_GBK" w:hAnsi="仿宋" w:eastAsia="仿宋" w:cs="仿宋"/>
          <w:b/>
          <w:bCs/>
          <w:color w:val="auto"/>
          <w:kern w:val="0"/>
          <w:szCs w:val="28"/>
          <w:highlight w:val="none"/>
          <w:lang w:val="zh-CN" w:eastAsia="zh-CN"/>
        </w:rPr>
        <w:t>要求</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5"/>
        <w:gridCol w:w="6192"/>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228" w:type="pct"/>
            <w:vAlign w:val="center"/>
          </w:tcPr>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系统名称</w:t>
            </w:r>
          </w:p>
        </w:tc>
        <w:tc>
          <w:tcPr>
            <w:tcW w:w="3215" w:type="pct"/>
            <w:vAlign w:val="center"/>
          </w:tcPr>
          <w:p>
            <w:pPr>
              <w:keepNext w:val="0"/>
              <w:keepLines w:val="0"/>
              <w:suppressLineNumbers w:val="0"/>
              <w:spacing w:before="0" w:beforeAutospacing="0" w:after="0" w:afterAutospacing="0" w:line="520" w:lineRule="exact"/>
              <w:ind w:left="0" w:right="0" w:firstLine="438" w:firstLineChars="200"/>
              <w:jc w:val="center"/>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要求</w:t>
            </w:r>
          </w:p>
        </w:tc>
        <w:tc>
          <w:tcPr>
            <w:tcW w:w="556" w:type="pct"/>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信息化体检系统</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1.体检系统符合国家、卫生部等各种标准和规范，符合采购人实际需求。</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2.体检系统中各采集终端能对数据进行存储、质控、缺漏项提醒、体检任务提醒及数据自动汇总等功能。</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3.体检系统中身高体重采集终端测量身高体重时需要加载往年历史数据方便对比BMI变化情况；问诊采集终端中生活习惯及口腔等加载往年历史数据便于提高工作效率及数据延展性，用药模块需提醒往年体检用药信息；B超工作站和心电工作站显示往年历史结论；心电工作站支持心电图结论审核功能。</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4.体检系统中信息登记模块可导入台账、导出基本台账等功能，可对条码号生成规则及个数灵活配置，能够采集居民图像及时间水印等功能。</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5.体检系统包含后台管理系统，可直观呈现体检缺项模块并能针对缺项信息修改功能。</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6.通过体检系统查询并导出健康检查数据，并能对常见病、高发病及其它特殊人群（包括高血压、糖尿病等）进行统计导出，可有效协助开展慢病随访等服务工作。</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7.自动生成个性化的健康指导评价结论，无需医生再次修改且满足考核要求。</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8.3个工作内完整对接公卫系统、lis系统，且数据上传无误符合考核要求。</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信息化尿液分析仪</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1.中文版语言操作；</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2.信息化尿液测速不低于200条/小时；</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3.触摸式自动感应测试条；</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w:t>
            </w:r>
            <w:r>
              <w:rPr>
                <w:rFonts w:hint="default" w:ascii="方正仿宋_GBK" w:hAnsi="仿宋" w:eastAsia="仿宋" w:cs="仿宋"/>
                <w:color w:val="auto"/>
                <w:kern w:val="0"/>
                <w:szCs w:val="28"/>
                <w:highlight w:val="none"/>
                <w:lang w:val="en-US" w:eastAsia="zh-CN"/>
              </w:rPr>
              <w:t>自动</w:t>
            </w:r>
            <w:r>
              <w:rPr>
                <w:rFonts w:hint="default" w:ascii="方正仿宋_GBK" w:hAnsi="仿宋" w:eastAsia="仿宋" w:cs="仿宋"/>
                <w:color w:val="auto"/>
                <w:kern w:val="0"/>
                <w:szCs w:val="28"/>
                <w:highlight w:val="none"/>
                <w:lang w:val="zh-CN" w:eastAsia="zh-CN"/>
              </w:rPr>
              <w:t>识别样本条码扫描；</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信息化心电图机</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十二导联同步采集，保证波形时间同步。</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2.存储模式:手动/自动存储；</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3.内置帮助功能：有电极安放位置、心电图基本知识、常用故障的处理等帮助说明；</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4.条码扫描：条码扫描功能。</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智能</w:t>
            </w:r>
            <w:r>
              <w:rPr>
                <w:rFonts w:hint="default" w:ascii="方正仿宋_GBK" w:hAnsi="仿宋" w:eastAsia="仿宋" w:cs="仿宋"/>
                <w:color w:val="auto"/>
                <w:kern w:val="0"/>
                <w:szCs w:val="28"/>
                <w:highlight w:val="none"/>
                <w:lang w:val="zh-CN" w:eastAsia="zh-CN"/>
              </w:rPr>
              <w:t>超声</w:t>
            </w:r>
            <w:r>
              <w:rPr>
                <w:rFonts w:hint="default" w:ascii="方正仿宋_GBK" w:hAnsi="仿宋" w:eastAsia="仿宋" w:cs="仿宋"/>
                <w:color w:val="auto"/>
                <w:kern w:val="0"/>
                <w:szCs w:val="28"/>
                <w:highlight w:val="none"/>
                <w:lang w:val="en-US" w:eastAsia="zh-CN"/>
              </w:rPr>
              <w:t>体重秤</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1.测量范围：身高：70-200cm；体重：2.0-200kg；</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2.测量误差：身高：±0.5cm；体重：±0.1kg；</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3.使用类型：折叠/伸缩，适宜车载；</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4.计量器具符合国家相关规定。</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信息化血压计</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1.量程： 0 kPa- 36 kPa（0mmHg- 270mmHg）；脉搏测量范围：40 次/分- 180 次/分；</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2.测量精度：压力：±3mmHg以内；脉搏：±5%以内；</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3.测量方式：压力感应式测量，臂式；</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4.数据传输：配备USB接口，实现数据有线传输，实时传输至移动终端。</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5.满足医用标准。</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身份证阅读器</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1.符合公安部 GA450、1GA450 标准规范；</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2.符合非接触 IC 卡 ISO14443 标准；</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3.数据通信:RS232/USB/蓝牙；</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4.准确读取并录入居民二代身份证信息。</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高清摄像头</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1.自动对焦功能；</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2.不低于1920*1080像素。</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数据采集</w:t>
            </w:r>
            <w:r>
              <w:rPr>
                <w:rFonts w:hint="default" w:ascii="方正仿宋_GBK" w:hAnsi="仿宋" w:eastAsia="仿宋" w:cs="仿宋"/>
                <w:color w:val="auto"/>
                <w:kern w:val="0"/>
                <w:szCs w:val="28"/>
                <w:highlight w:val="none"/>
                <w:lang w:val="zh-CN" w:eastAsia="zh-CN"/>
              </w:rPr>
              <w:t>条码扫描枪</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1.性能稳定，非接触式扫描；</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2.配有支架，无需手持；</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3.自动感应扫描。</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条码打印机</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1.打印方式：热敏；</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2.打印宽度：Max.50mm；</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3.打印速度：Max.150mm/s；</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zh-CN" w:eastAsia="zh-CN"/>
              </w:rPr>
              <w:t>4.分辨率：不低于200DPI；</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228"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数据</w:t>
            </w:r>
            <w:r>
              <w:rPr>
                <w:rFonts w:hint="default" w:ascii="方正仿宋_GBK" w:hAnsi="仿宋" w:eastAsia="仿宋" w:cs="仿宋"/>
                <w:color w:val="auto"/>
                <w:kern w:val="0"/>
                <w:szCs w:val="28"/>
                <w:highlight w:val="none"/>
                <w:lang w:val="zh-CN" w:eastAsia="zh-CN"/>
              </w:rPr>
              <w:t>采集</w:t>
            </w:r>
            <w:r>
              <w:rPr>
                <w:rFonts w:hint="default" w:ascii="方正仿宋_GBK" w:hAnsi="仿宋" w:eastAsia="仿宋" w:cs="仿宋"/>
                <w:color w:val="auto"/>
                <w:kern w:val="0"/>
                <w:szCs w:val="28"/>
                <w:highlight w:val="none"/>
                <w:lang w:val="en-US" w:eastAsia="zh-CN"/>
              </w:rPr>
              <w:t>电脑</w:t>
            </w:r>
          </w:p>
        </w:tc>
        <w:tc>
          <w:tcPr>
            <w:tcW w:w="3215" w:type="pct"/>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1.笔记本电脑；</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zh-CN" w:eastAsia="zh-CN"/>
              </w:rPr>
              <w:t>.内存:8G；</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.系统类型:64位；</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zh-CN" w:eastAsia="zh-CN"/>
              </w:rPr>
              <w:t>.版本：Windows 10</w:t>
            </w:r>
            <w:r>
              <w:rPr>
                <w:rFonts w:hint="default" w:ascii="方正仿宋_GBK" w:hAnsi="仿宋" w:eastAsia="仿宋" w:cs="仿宋"/>
                <w:color w:val="auto"/>
                <w:kern w:val="0"/>
                <w:szCs w:val="28"/>
                <w:highlight w:val="none"/>
                <w:lang w:val="en-US" w:eastAsia="zh-CN"/>
              </w:rPr>
              <w:t>以上系统。</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5.支持对接以上体检设备，能与智能基本公卫服务体检系统联网工作。</w:t>
            </w:r>
          </w:p>
        </w:tc>
        <w:tc>
          <w:tcPr>
            <w:tcW w:w="556" w:type="pct"/>
            <w:vAlign w:val="center"/>
          </w:tcPr>
          <w:p>
            <w:pPr>
              <w:keepNext w:val="0"/>
              <w:keepLines w:val="0"/>
              <w:suppressLineNumbers w:val="0"/>
              <w:spacing w:before="0" w:beforeAutospacing="0" w:after="0" w:afterAutospacing="0" w:line="520" w:lineRule="exact"/>
              <w:ind w:left="0" w:right="0"/>
              <w:jc w:val="center"/>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19台</w:t>
            </w:r>
          </w:p>
        </w:tc>
      </w:tr>
    </w:tbl>
    <w:p>
      <w:pPr>
        <w:pageBreakBefore w:val="0"/>
        <w:widowControl w:val="0"/>
        <w:kinsoku/>
        <w:wordWrap/>
        <w:overflowPunct/>
        <w:topLinePunct w:val="0"/>
        <w:autoSpaceDE/>
        <w:autoSpaceDN/>
        <w:bidi w:val="0"/>
        <w:spacing w:line="520" w:lineRule="exact"/>
        <w:ind w:firstLine="438" w:firstLineChars="200"/>
        <w:textAlignment w:val="auto"/>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lang w:eastAsia="zh-CN"/>
        </w:rPr>
        <w:br w:type="page"/>
      </w:r>
    </w:p>
    <w:bookmarkEnd w:id="218"/>
    <w:bookmarkEnd w:id="219"/>
    <w:bookmarkEnd w:id="220"/>
    <w:bookmarkEnd w:id="221"/>
    <w:bookmarkEnd w:id="222"/>
    <w:p>
      <w:pPr>
        <w:pStyle w:val="3"/>
        <w:numPr>
          <w:ilvl w:val="0"/>
          <w:numId w:val="0"/>
        </w:numPr>
        <w:spacing w:before="196" w:after="196"/>
        <w:ind w:leftChars="0"/>
        <w:jc w:val="center"/>
        <w:rPr>
          <w:rFonts w:hint="eastAsia" w:ascii="方正仿宋_GBK" w:hAnsi="方正仿宋_GBK" w:eastAsia="仿宋" w:cs="方正仿宋_GBK"/>
          <w:color w:val="auto"/>
          <w:kern w:val="2"/>
          <w:sz w:val="24"/>
          <w:szCs w:val="28"/>
          <w:highlight w:val="none"/>
          <w:lang w:val="en-US" w:eastAsia="zh-CN" w:bidi="ar-SA"/>
        </w:rPr>
      </w:pPr>
      <w:bookmarkStart w:id="225" w:name="_Toc22492"/>
      <w:bookmarkStart w:id="226" w:name="_Toc48837306"/>
      <w:bookmarkStart w:id="227" w:name="_Toc29208"/>
      <w:bookmarkStart w:id="228" w:name="_Toc29690"/>
      <w:bookmarkStart w:id="229" w:name="_Toc626"/>
      <w:bookmarkStart w:id="230" w:name="_Toc19831"/>
      <w:bookmarkStart w:id="231" w:name="_Toc6981"/>
      <w:bookmarkStart w:id="232" w:name="_Toc525"/>
      <w:bookmarkStart w:id="233" w:name="_Toc17633"/>
      <w:bookmarkStart w:id="234" w:name="_Toc8563"/>
      <w:bookmarkStart w:id="235" w:name="_Toc14010"/>
      <w:bookmarkStart w:id="236" w:name="_Toc22261"/>
      <w:bookmarkStart w:id="237" w:name="_Toc4982"/>
      <w:bookmarkStart w:id="238" w:name="_Toc7413"/>
      <w:bookmarkStart w:id="239" w:name="_Toc1898"/>
      <w:bookmarkStart w:id="240" w:name="_Toc4813"/>
      <w:bookmarkStart w:id="241" w:name="_Toc3944"/>
      <w:bookmarkStart w:id="242" w:name="_Toc27837"/>
      <w:bookmarkStart w:id="243" w:name="_Toc1773"/>
      <w:bookmarkStart w:id="244" w:name="_Toc13929"/>
      <w:bookmarkStart w:id="245" w:name="_Toc30653"/>
      <w:bookmarkStart w:id="246" w:name="_Toc21839"/>
      <w:bookmarkStart w:id="247" w:name="_Toc17260"/>
      <w:bookmarkStart w:id="248" w:name="_Toc29474"/>
      <w:bookmarkStart w:id="249" w:name="_Toc7209"/>
      <w:bookmarkStart w:id="250" w:name="_Toc4600"/>
      <w:bookmarkStart w:id="251" w:name="_Toc14357"/>
      <w:bookmarkStart w:id="252" w:name="_Toc13454"/>
      <w:r>
        <w:rPr>
          <w:rFonts w:hint="eastAsia"/>
          <w:color w:val="auto"/>
          <w:szCs w:val="22"/>
          <w:highlight w:val="none"/>
          <w:lang w:eastAsia="zh-CN"/>
        </w:rPr>
        <w:t>第三篇</w:t>
      </w:r>
      <w:r>
        <w:rPr>
          <w:rFonts w:hint="eastAsia"/>
          <w:color w:val="auto"/>
          <w:szCs w:val="22"/>
          <w:highlight w:val="none"/>
          <w:lang w:val="en-US" w:eastAsia="zh-CN"/>
        </w:rPr>
        <w:t xml:space="preserve">  </w:t>
      </w:r>
      <w:r>
        <w:rPr>
          <w:rFonts w:hint="eastAsia"/>
          <w:color w:val="auto"/>
          <w:szCs w:val="22"/>
          <w:highlight w:val="none"/>
        </w:rPr>
        <w:t>采购商务要求</w:t>
      </w:r>
      <w:bookmarkEnd w:id="21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Start w:id="253" w:name="_Toc8429"/>
      <w:bookmarkStart w:id="254" w:name="_Toc10468"/>
      <w:bookmarkStart w:id="255" w:name="_Toc32120"/>
    </w:p>
    <w:p>
      <w:pPr>
        <w:spacing w:before="156" w:after="156" w:line="520" w:lineRule="exact"/>
        <w:ind w:firstLine="438" w:firstLineChars="200"/>
        <w:jc w:val="left"/>
        <w:outlineLvl w:val="1"/>
        <w:rPr>
          <w:rFonts w:eastAsia="仿宋" w:cs="宋体"/>
          <w:b/>
          <w:bCs/>
          <w:color w:val="auto"/>
          <w:szCs w:val="28"/>
          <w:highlight w:val="none"/>
        </w:rPr>
      </w:pPr>
      <w:bookmarkStart w:id="256" w:name="_Toc27578"/>
      <w:bookmarkStart w:id="257" w:name="_Toc29787"/>
      <w:bookmarkStart w:id="258" w:name="_Toc15545"/>
      <w:bookmarkStart w:id="259" w:name="_Toc13189"/>
      <w:r>
        <w:rPr>
          <w:rFonts w:hint="eastAsia" w:eastAsia="仿宋" w:cs="宋体"/>
          <w:b/>
          <w:bCs/>
          <w:color w:val="auto"/>
          <w:szCs w:val="28"/>
          <w:highlight w:val="none"/>
        </w:rPr>
        <w:t>一、服务期、</w:t>
      </w:r>
      <w:r>
        <w:rPr>
          <w:rFonts w:hint="eastAsia" w:eastAsia="仿宋" w:cs="宋体"/>
          <w:b/>
          <w:bCs/>
          <w:color w:val="auto"/>
          <w:szCs w:val="28"/>
          <w:highlight w:val="none"/>
          <w:lang w:eastAsia="zh-CN"/>
        </w:rPr>
        <w:t>范围</w:t>
      </w:r>
      <w:r>
        <w:rPr>
          <w:rFonts w:hint="eastAsia" w:eastAsia="仿宋" w:cs="宋体"/>
          <w:b/>
          <w:bCs/>
          <w:color w:val="auto"/>
          <w:szCs w:val="28"/>
          <w:highlight w:val="none"/>
        </w:rPr>
        <w:t>及验收方式</w:t>
      </w:r>
      <w:bookmarkEnd w:id="253"/>
      <w:bookmarkEnd w:id="254"/>
      <w:bookmarkEnd w:id="256"/>
      <w:bookmarkEnd w:id="257"/>
      <w:bookmarkEnd w:id="258"/>
      <w:bookmarkEnd w:id="259"/>
    </w:p>
    <w:p>
      <w:pPr>
        <w:numPr>
          <w:ilvl w:val="0"/>
          <w:numId w:val="0"/>
        </w:numPr>
        <w:adjustRightInd w:val="0"/>
        <w:snapToGrid w:val="0"/>
        <w:spacing w:line="520" w:lineRule="exact"/>
        <w:ind w:leftChars="200"/>
        <w:jc w:val="left"/>
        <w:rPr>
          <w:rFonts w:hint="eastAsia" w:ascii="方正仿宋_GBK" w:hAnsi="方正仿宋_GBK" w:eastAsia="仿宋" w:cs="方正仿宋_GBK"/>
          <w:color w:val="auto"/>
          <w:szCs w:val="28"/>
          <w:highlight w:val="none"/>
          <w:lang w:val="en-US" w:eastAsia="zh-CN"/>
        </w:rPr>
      </w:pPr>
      <w:r>
        <w:rPr>
          <w:rFonts w:hint="eastAsia" w:ascii="方正仿宋_GBK" w:hAnsi="方正仿宋_GBK" w:eastAsia="仿宋" w:cs="方正仿宋_GBK"/>
          <w:color w:val="auto"/>
          <w:szCs w:val="28"/>
          <w:highlight w:val="none"/>
          <w:lang w:val="en-US" w:eastAsia="zh-CN"/>
        </w:rPr>
        <w:t>（一）服务期</w:t>
      </w:r>
    </w:p>
    <w:p>
      <w:pPr>
        <w:pageBreakBefore w:val="0"/>
        <w:widowControl w:val="0"/>
        <w:kinsoku/>
        <w:wordWrap/>
        <w:overflowPunct/>
        <w:topLinePunct w:val="0"/>
        <w:autoSpaceDE/>
        <w:autoSpaceDN/>
        <w:bidi w:val="0"/>
        <w:spacing w:line="520" w:lineRule="exact"/>
        <w:ind w:firstLine="438" w:firstLineChars="200"/>
        <w:textAlignment w:val="auto"/>
        <w:rPr>
          <w:rFonts w:hint="eastAsia" w:ascii="仿宋" w:hAnsi="仿宋" w:eastAsia="仿宋" w:cs="仿宋"/>
          <w:color w:val="auto"/>
        </w:rPr>
      </w:pPr>
      <w:r>
        <w:rPr>
          <w:rFonts w:hint="eastAsia" w:ascii="仿宋" w:hAnsi="仿宋" w:eastAsia="仿宋" w:cs="仿宋"/>
          <w:color w:val="auto"/>
        </w:rPr>
        <w:t>合同签订之日</w:t>
      </w:r>
      <w:r>
        <w:rPr>
          <w:rFonts w:hint="eastAsia" w:ascii="仿宋" w:hAnsi="仿宋" w:eastAsia="仿宋" w:cs="仿宋"/>
          <w:color w:val="auto"/>
          <w:lang w:eastAsia="zh-CN"/>
        </w:rPr>
        <w:t>起</w:t>
      </w:r>
      <w:r>
        <w:rPr>
          <w:rFonts w:hint="eastAsia" w:ascii="仿宋" w:hAnsi="仿宋" w:eastAsia="仿宋" w:cs="仿宋"/>
          <w:color w:val="auto"/>
          <w:lang w:val="en-US" w:eastAsia="zh-CN"/>
        </w:rPr>
        <w:t>，按采购人要求逐步实施</w:t>
      </w:r>
      <w:r>
        <w:rPr>
          <w:rFonts w:hint="eastAsia" w:ascii="仿宋" w:hAnsi="仿宋" w:eastAsia="仿宋" w:cs="仿宋"/>
          <w:color w:val="auto"/>
        </w:rPr>
        <w:t>。</w:t>
      </w:r>
    </w:p>
    <w:p>
      <w:pPr>
        <w:numPr>
          <w:ilvl w:val="0"/>
          <w:numId w:val="0"/>
        </w:numPr>
        <w:adjustRightInd w:val="0"/>
        <w:snapToGrid w:val="0"/>
        <w:spacing w:line="520" w:lineRule="exact"/>
        <w:ind w:leftChars="200"/>
        <w:jc w:val="left"/>
        <w:rPr>
          <w:rFonts w:hint="eastAsia" w:ascii="方正仿宋_GBK" w:hAnsi="方正仿宋_GBK" w:eastAsia="仿宋" w:cs="方正仿宋_GBK"/>
          <w:color w:val="auto"/>
          <w:szCs w:val="28"/>
          <w:highlight w:val="none"/>
          <w:lang w:eastAsia="zh-CN"/>
        </w:rPr>
      </w:pPr>
      <w:r>
        <w:rPr>
          <w:rFonts w:hint="eastAsia" w:ascii="方正仿宋_GBK" w:hAnsi="方正仿宋_GBK" w:eastAsia="仿宋" w:cs="方正仿宋_GBK"/>
          <w:color w:val="auto"/>
          <w:szCs w:val="28"/>
          <w:highlight w:val="none"/>
          <w:lang w:val="en-US" w:eastAsia="zh-CN"/>
        </w:rPr>
        <w:t>（二）服</w:t>
      </w:r>
      <w:r>
        <w:rPr>
          <w:rFonts w:hint="eastAsia" w:ascii="方正仿宋_GBK" w:hAnsi="方正仿宋_GBK" w:eastAsia="仿宋" w:cs="方正仿宋_GBK"/>
          <w:color w:val="auto"/>
          <w:szCs w:val="28"/>
          <w:highlight w:val="none"/>
        </w:rPr>
        <w:t>务</w:t>
      </w:r>
      <w:r>
        <w:rPr>
          <w:rFonts w:hint="eastAsia" w:ascii="方正仿宋_GBK" w:hAnsi="方正仿宋_GBK" w:eastAsia="仿宋" w:cs="方正仿宋_GBK"/>
          <w:color w:val="auto"/>
          <w:szCs w:val="28"/>
          <w:highlight w:val="none"/>
          <w:lang w:eastAsia="zh-CN"/>
        </w:rPr>
        <w:t>范围</w:t>
      </w:r>
      <w:bookmarkStart w:id="260" w:name="_Toc22188"/>
      <w:bookmarkStart w:id="261" w:name="_Toc31981"/>
      <w:bookmarkStart w:id="262" w:name="_Toc15198"/>
      <w:bookmarkStart w:id="263" w:name="_Toc22143"/>
      <w:bookmarkStart w:id="264" w:name="_Toc840"/>
      <w:bookmarkStart w:id="265" w:name="_Toc24605"/>
      <w:bookmarkStart w:id="266" w:name="_Toc2854"/>
      <w:bookmarkStart w:id="267" w:name="_Toc21633"/>
      <w:bookmarkStart w:id="268" w:name="_Toc1847"/>
      <w:bookmarkStart w:id="269" w:name="_Toc63600415"/>
      <w:bookmarkStart w:id="270" w:name="_Toc3823"/>
      <w:bookmarkStart w:id="271" w:name="_Toc11100"/>
      <w:bookmarkStart w:id="272" w:name="_Toc19939"/>
      <w:bookmarkStart w:id="273" w:name="_Toc6027"/>
      <w:bookmarkStart w:id="274" w:name="_Toc26643"/>
      <w:bookmarkStart w:id="275" w:name="_Toc3983"/>
      <w:bookmarkStart w:id="276" w:name="_Toc28205"/>
      <w:bookmarkStart w:id="277" w:name="_Toc18787"/>
      <w:bookmarkStart w:id="278" w:name="_Toc19642"/>
      <w:bookmarkStart w:id="279" w:name="_Toc8899"/>
      <w:bookmarkStart w:id="280" w:name="_Toc12283"/>
      <w:bookmarkStart w:id="281" w:name="_Toc28275"/>
      <w:bookmarkStart w:id="282" w:name="_Toc31294"/>
    </w:p>
    <w:p>
      <w:pPr>
        <w:adjustRightInd w:val="0"/>
        <w:snapToGrid w:val="0"/>
        <w:spacing w:line="520" w:lineRule="exact"/>
        <w:ind w:firstLine="438" w:firstLineChars="200"/>
        <w:jc w:val="left"/>
        <w:rPr>
          <w:rFonts w:hint="eastAsia" w:ascii="方正仿宋_GBK" w:hAnsi="方正仿宋_GBK" w:eastAsia="仿宋" w:cs="方正仿宋_GBK"/>
          <w:color w:val="auto"/>
          <w:szCs w:val="28"/>
          <w:highlight w:val="none"/>
        </w:rPr>
      </w:pPr>
      <w:bookmarkStart w:id="283" w:name="_Toc7210"/>
      <w:r>
        <w:rPr>
          <w:rFonts w:hint="eastAsia" w:ascii="方正仿宋_GBK" w:hAnsi="方正仿宋_GBK" w:eastAsia="仿宋" w:cs="方正仿宋_GBK"/>
          <w:color w:val="auto"/>
          <w:szCs w:val="28"/>
          <w:highlight w:val="none"/>
        </w:rPr>
        <w:t>采购人指定地点</w:t>
      </w:r>
    </w:p>
    <w:p>
      <w:pPr>
        <w:adjustRightInd w:val="0"/>
        <w:snapToGrid w:val="0"/>
        <w:spacing w:line="520" w:lineRule="exact"/>
        <w:ind w:firstLine="438" w:firstLineChars="200"/>
        <w:jc w:val="left"/>
        <w:rPr>
          <w:rFonts w:ascii="方正仿宋_GBK" w:hAnsi="方正仿宋_GBK" w:eastAsia="仿宋" w:cs="方正仿宋_GBK"/>
          <w:color w:val="auto"/>
          <w:szCs w:val="28"/>
          <w:highlight w:val="none"/>
        </w:rPr>
      </w:pPr>
      <w:r>
        <w:rPr>
          <w:rFonts w:hint="eastAsia" w:ascii="方正仿宋_GBK" w:hAnsi="方正仿宋_GBK" w:eastAsia="仿宋" w:cs="方正仿宋_GBK"/>
          <w:color w:val="auto"/>
          <w:szCs w:val="28"/>
          <w:highlight w:val="none"/>
        </w:rPr>
        <w:t>（三）验收方式：</w:t>
      </w:r>
    </w:p>
    <w:p>
      <w:pPr>
        <w:pStyle w:val="13"/>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outlineLvl w:val="9"/>
        <w:rPr>
          <w:rFonts w:hint="eastAsia" w:ascii="方正仿宋_GBK" w:hAnsi="方正仿宋_GBK" w:eastAsia="仿宋" w:cs="方正仿宋_GBK"/>
          <w:color w:val="auto"/>
          <w:kern w:val="2"/>
          <w:sz w:val="24"/>
          <w:szCs w:val="28"/>
          <w:highlight w:val="none"/>
          <w:lang w:val="zh-CN" w:eastAsia="zh-CN" w:bidi="ar-SA"/>
        </w:rPr>
      </w:pPr>
      <w:r>
        <w:rPr>
          <w:rFonts w:hint="eastAsia" w:ascii="方正仿宋_GBK" w:hAnsi="方正仿宋_GBK" w:eastAsia="仿宋" w:cs="方正仿宋_GBK"/>
          <w:color w:val="auto"/>
          <w:kern w:val="2"/>
          <w:sz w:val="24"/>
          <w:szCs w:val="28"/>
          <w:highlight w:val="none"/>
          <w:lang w:val="zh-CN" w:eastAsia="zh-CN" w:bidi="ar-SA"/>
        </w:rPr>
        <w:t>1、硬件到货后，成交供应商应在使用单位人员在场情况下当面开箱、共同清点、检查外观，双方在开箱记录上签字确认。</w:t>
      </w:r>
    </w:p>
    <w:p>
      <w:pPr>
        <w:pStyle w:val="13"/>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outlineLvl w:val="9"/>
        <w:rPr>
          <w:rFonts w:hint="eastAsia" w:ascii="方正仿宋_GBK" w:hAnsi="方正仿宋_GBK" w:eastAsia="仿宋" w:cs="方正仿宋_GBK"/>
          <w:color w:val="auto"/>
          <w:kern w:val="2"/>
          <w:sz w:val="24"/>
          <w:szCs w:val="28"/>
          <w:highlight w:val="none"/>
          <w:lang w:val="zh-CN" w:eastAsia="zh-CN" w:bidi="ar-SA"/>
        </w:rPr>
      </w:pPr>
      <w:r>
        <w:rPr>
          <w:rFonts w:hint="eastAsia" w:ascii="方正仿宋_GBK" w:hAnsi="方正仿宋_GBK" w:eastAsia="仿宋" w:cs="方正仿宋_GBK"/>
          <w:color w:val="auto"/>
          <w:kern w:val="2"/>
          <w:sz w:val="24"/>
          <w:szCs w:val="28"/>
          <w:highlight w:val="none"/>
          <w:lang w:val="zh-CN" w:eastAsia="zh-CN" w:bidi="ar-SA"/>
        </w:rPr>
        <w:t>2、成交供应商应保证硬件到达采购人指定地点时完好无损，如有缺漏、损坏，由成交供应商负责调换、补齐或赔偿。</w:t>
      </w:r>
    </w:p>
    <w:p>
      <w:pPr>
        <w:pStyle w:val="13"/>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outlineLvl w:val="9"/>
        <w:rPr>
          <w:rFonts w:hint="eastAsia" w:ascii="方正仿宋_GBK" w:hAnsi="方正仿宋_GBK" w:eastAsia="仿宋" w:cs="方正仿宋_GBK"/>
          <w:color w:val="auto"/>
          <w:kern w:val="2"/>
          <w:sz w:val="24"/>
          <w:szCs w:val="28"/>
          <w:highlight w:val="none"/>
          <w:lang w:val="zh-CN" w:eastAsia="zh-CN" w:bidi="ar-SA"/>
        </w:rPr>
      </w:pPr>
      <w:r>
        <w:rPr>
          <w:rFonts w:hint="eastAsia" w:ascii="方正仿宋_GBK" w:hAnsi="方正仿宋_GBK" w:eastAsia="仿宋" w:cs="方正仿宋_GBK"/>
          <w:color w:val="auto"/>
          <w:kern w:val="2"/>
          <w:sz w:val="24"/>
          <w:szCs w:val="28"/>
          <w:highlight w:val="none"/>
          <w:lang w:val="zh-CN" w:eastAsia="zh-CN" w:bidi="ar-SA"/>
        </w:rPr>
        <w:t>3、软件系统在安装调试并试运行符合要求后，才作为最终验收。</w:t>
      </w:r>
    </w:p>
    <w:p>
      <w:pPr>
        <w:pStyle w:val="13"/>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outlineLvl w:val="9"/>
        <w:rPr>
          <w:rFonts w:hint="eastAsia" w:ascii="方正仿宋_GBK" w:hAnsi="方正仿宋_GBK" w:eastAsia="仿宋" w:cs="方正仿宋_GBK"/>
          <w:color w:val="auto"/>
          <w:kern w:val="2"/>
          <w:sz w:val="24"/>
          <w:szCs w:val="28"/>
          <w:highlight w:val="none"/>
          <w:lang w:val="zh-CN" w:eastAsia="zh-CN" w:bidi="ar-SA"/>
        </w:rPr>
      </w:pPr>
      <w:r>
        <w:rPr>
          <w:rFonts w:hint="eastAsia" w:ascii="方正仿宋_GBK" w:hAnsi="方正仿宋_GBK" w:eastAsia="仿宋" w:cs="方正仿宋_GBK"/>
          <w:color w:val="auto"/>
          <w:kern w:val="2"/>
          <w:sz w:val="24"/>
          <w:szCs w:val="28"/>
          <w:highlight w:val="none"/>
          <w:lang w:val="zh-CN" w:eastAsia="zh-CN" w:bidi="ar-SA"/>
        </w:rPr>
        <w:t>4、软件系统交付时必须提供详细的技术文档资料。</w:t>
      </w:r>
    </w:p>
    <w:p>
      <w:pPr>
        <w:pStyle w:val="13"/>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outlineLvl w:val="9"/>
        <w:rPr>
          <w:rFonts w:hint="eastAsia" w:ascii="方正仿宋_GBK" w:hAnsi="方正仿宋_GBK" w:eastAsia="仿宋" w:cs="方正仿宋_GBK"/>
          <w:color w:val="auto"/>
          <w:kern w:val="2"/>
          <w:sz w:val="24"/>
          <w:szCs w:val="28"/>
          <w:highlight w:val="none"/>
          <w:lang w:val="zh-CN" w:eastAsia="zh-CN" w:bidi="ar-SA"/>
        </w:rPr>
      </w:pPr>
      <w:r>
        <w:rPr>
          <w:rFonts w:hint="eastAsia" w:ascii="方正仿宋_GBK" w:hAnsi="方正仿宋_GBK" w:eastAsia="仿宋" w:cs="方正仿宋_GBK"/>
          <w:color w:val="auto"/>
          <w:kern w:val="2"/>
          <w:sz w:val="24"/>
          <w:szCs w:val="28"/>
          <w:highlight w:val="none"/>
          <w:lang w:val="zh-CN" w:eastAsia="zh-CN" w:bidi="ar-SA"/>
        </w:rPr>
        <w:t>5、成交供应商提供的产品未达到磋商文件规定要求，且对采购人造成损失的，由成交供应商承担一切责任，并赔偿所造成的损失。</w:t>
      </w:r>
    </w:p>
    <w:p>
      <w:pPr>
        <w:pStyle w:val="13"/>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outlineLvl w:val="9"/>
        <w:rPr>
          <w:rFonts w:hint="eastAsia" w:ascii="方正仿宋_GBK" w:hAnsi="方正仿宋_GBK" w:eastAsia="仿宋" w:cs="方正仿宋_GBK"/>
          <w:color w:val="auto"/>
          <w:kern w:val="2"/>
          <w:sz w:val="24"/>
          <w:szCs w:val="28"/>
          <w:highlight w:val="none"/>
          <w:lang w:val="zh-CN" w:eastAsia="zh-CN" w:bidi="ar-SA"/>
        </w:rPr>
      </w:pPr>
      <w:r>
        <w:rPr>
          <w:rFonts w:hint="eastAsia" w:ascii="方正仿宋_GBK" w:hAnsi="方正仿宋_GBK" w:eastAsia="仿宋" w:cs="方正仿宋_GBK"/>
          <w:color w:val="auto"/>
          <w:kern w:val="2"/>
          <w:sz w:val="24"/>
          <w:szCs w:val="28"/>
          <w:highlight w:val="none"/>
          <w:lang w:val="zh-CN" w:eastAsia="zh-CN" w:bidi="ar-SA"/>
        </w:rPr>
        <w:t>6、采购人需要制造商对成交供应商交付的产品（包括质量、技术参数等）进行确认的，制造商应予以配合，并出具书面意见。</w:t>
      </w:r>
    </w:p>
    <w:p>
      <w:pPr>
        <w:spacing w:before="156" w:after="156" w:line="520" w:lineRule="exact"/>
        <w:ind w:firstLine="438" w:firstLineChars="200"/>
        <w:jc w:val="left"/>
        <w:outlineLvl w:val="1"/>
        <w:rPr>
          <w:rFonts w:eastAsia="仿宋" w:cs="宋体"/>
          <w:b/>
          <w:bCs/>
          <w:color w:val="auto"/>
          <w:szCs w:val="28"/>
          <w:highlight w:val="none"/>
        </w:rPr>
      </w:pPr>
      <w:bookmarkStart w:id="284" w:name="_Toc25542"/>
      <w:bookmarkStart w:id="285" w:name="_Toc19294"/>
      <w:bookmarkStart w:id="286" w:name="_Toc31608"/>
      <w:bookmarkStart w:id="287" w:name="_Toc11765"/>
      <w:r>
        <w:rPr>
          <w:rFonts w:hint="eastAsia" w:eastAsia="仿宋" w:cs="宋体"/>
          <w:b/>
          <w:bCs/>
          <w:color w:val="auto"/>
          <w:szCs w:val="28"/>
          <w:highlight w:val="none"/>
        </w:rPr>
        <w:t>二、</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hint="eastAsia" w:eastAsia="仿宋" w:cs="宋体"/>
          <w:b/>
          <w:bCs/>
          <w:color w:val="auto"/>
          <w:szCs w:val="28"/>
          <w:highlight w:val="none"/>
        </w:rPr>
        <w:t>报价要求</w:t>
      </w:r>
      <w:bookmarkEnd w:id="283"/>
      <w:bookmarkEnd w:id="284"/>
      <w:bookmarkEnd w:id="285"/>
      <w:bookmarkEnd w:id="286"/>
      <w:bookmarkEnd w:id="287"/>
    </w:p>
    <w:p>
      <w:pPr>
        <w:pStyle w:val="13"/>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outlineLvl w:val="9"/>
        <w:rPr>
          <w:rFonts w:hint="eastAsia" w:ascii="方正仿宋_GBK" w:hAnsi="方正仿宋_GBK" w:eastAsia="仿宋" w:cs="方正仿宋_GBK"/>
          <w:color w:val="auto"/>
          <w:kern w:val="2"/>
          <w:sz w:val="24"/>
          <w:szCs w:val="28"/>
          <w:highlight w:val="none"/>
          <w:lang w:val="zh-CN" w:eastAsia="zh-CN" w:bidi="ar-SA"/>
        </w:rPr>
      </w:pPr>
      <w:bookmarkStart w:id="288" w:name="_Toc26193"/>
      <w:r>
        <w:rPr>
          <w:rFonts w:hint="eastAsia" w:ascii="方正仿宋_GBK" w:hAnsi="方正仿宋_GBK" w:eastAsia="仿宋" w:cs="方正仿宋_GBK"/>
          <w:color w:val="auto"/>
          <w:kern w:val="2"/>
          <w:sz w:val="24"/>
          <w:szCs w:val="28"/>
          <w:highlight w:val="none"/>
          <w:lang w:val="zh-CN" w:eastAsia="zh-CN" w:bidi="ar-SA"/>
        </w:rPr>
        <w:t>本次报价须为人民币报价，包含：产品基价、包装费、税费（含关税）、保险费、安装费、调试费、验收费、特殊工具费、免费维保期内的售后服务费、培训费等一切与此项目有关的所有费用。因成交供应商自身原因造成漏报、少报皆由其自行承担责任，采购人不再补偿。</w:t>
      </w:r>
    </w:p>
    <w:p>
      <w:pPr>
        <w:spacing w:before="156" w:after="156" w:line="520" w:lineRule="exact"/>
        <w:ind w:firstLine="438" w:firstLineChars="200"/>
        <w:jc w:val="left"/>
        <w:outlineLvl w:val="1"/>
        <w:rPr>
          <w:rFonts w:hint="eastAsia" w:ascii="仿宋" w:hAnsi="仿宋" w:eastAsia="仿宋" w:cs="Times New Roman"/>
          <w:color w:val="auto"/>
          <w:szCs w:val="24"/>
          <w:highlight w:val="none"/>
          <w:lang w:eastAsia="zh-CN"/>
        </w:rPr>
      </w:pPr>
      <w:bookmarkStart w:id="289" w:name="_Toc15385"/>
      <w:bookmarkStart w:id="290" w:name="_Toc14630"/>
      <w:bookmarkStart w:id="291" w:name="_Toc21864"/>
      <w:bookmarkStart w:id="292" w:name="_Toc14358"/>
      <w:r>
        <w:rPr>
          <w:rFonts w:hint="eastAsia" w:eastAsia="仿宋" w:cs="宋体"/>
          <w:b/>
          <w:bCs/>
          <w:color w:val="auto"/>
          <w:szCs w:val="28"/>
          <w:highlight w:val="none"/>
        </w:rPr>
        <w:t>三、</w:t>
      </w:r>
      <w:bookmarkStart w:id="293" w:name="_Toc3136"/>
      <w:bookmarkStart w:id="294" w:name="_Toc63600417"/>
      <w:bookmarkStart w:id="295" w:name="_Toc10743"/>
      <w:bookmarkStart w:id="296" w:name="_Toc24884"/>
      <w:bookmarkStart w:id="297" w:name="_Toc24895"/>
      <w:bookmarkStart w:id="298" w:name="_Toc32515"/>
      <w:bookmarkStart w:id="299" w:name="_Toc20337"/>
      <w:bookmarkStart w:id="300" w:name="_Toc26152"/>
      <w:bookmarkStart w:id="301" w:name="_Toc31361"/>
      <w:bookmarkStart w:id="302" w:name="_Toc4132"/>
      <w:bookmarkStart w:id="303" w:name="_Toc28676"/>
      <w:bookmarkStart w:id="304" w:name="_Toc4581"/>
      <w:bookmarkStart w:id="305" w:name="_Toc61"/>
      <w:bookmarkStart w:id="306" w:name="_Toc7403"/>
      <w:r>
        <w:rPr>
          <w:rFonts w:hint="eastAsia" w:eastAsia="仿宋" w:cs="宋体"/>
          <w:b/>
          <w:bCs/>
          <w:color w:val="auto"/>
          <w:szCs w:val="28"/>
          <w:highlight w:val="none"/>
        </w:rPr>
        <w:t>付款方式</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Start w:id="307" w:name="_Toc22145"/>
      <w:bookmarkStart w:id="308" w:name="_Toc19510"/>
      <w:bookmarkStart w:id="309" w:name="_Toc19354"/>
      <w:bookmarkStart w:id="310" w:name="_Toc3931"/>
      <w:bookmarkStart w:id="311" w:name="_Toc10344"/>
      <w:bookmarkStart w:id="312" w:name="_Toc23355"/>
      <w:bookmarkStart w:id="313" w:name="_Toc16775"/>
      <w:bookmarkStart w:id="314" w:name="_Toc12604"/>
      <w:bookmarkStart w:id="315" w:name="_Toc63600418"/>
      <w:bookmarkStart w:id="316" w:name="_Toc25879"/>
      <w:bookmarkStart w:id="317" w:name="_Toc23539"/>
      <w:bookmarkStart w:id="318" w:name="_Toc1974"/>
      <w:bookmarkStart w:id="319" w:name="_Toc10273"/>
      <w:bookmarkStart w:id="320" w:name="_Toc22950"/>
      <w:bookmarkStart w:id="321" w:name="_Toc6039"/>
      <w:bookmarkStart w:id="322" w:name="_Toc19348"/>
      <w:bookmarkStart w:id="323" w:name="_Toc20752"/>
      <w:bookmarkStart w:id="324" w:name="_Toc28494"/>
      <w:bookmarkStart w:id="325" w:name="_Toc9165"/>
      <w:bookmarkStart w:id="326" w:name="_Toc31859"/>
    </w:p>
    <w:p>
      <w:pPr>
        <w:keepNext w:val="0"/>
        <w:keepLines w:val="0"/>
        <w:pageBreakBefore w:val="0"/>
        <w:widowControl w:val="0"/>
        <w:kinsoku/>
        <w:wordWrap/>
        <w:overflowPunct/>
        <w:topLinePunct w:val="0"/>
        <w:autoSpaceDE/>
        <w:autoSpaceDN/>
        <w:bidi w:val="0"/>
        <w:adjustRightInd/>
        <w:snapToGrid/>
        <w:spacing w:line="520" w:lineRule="exact"/>
        <w:ind w:firstLine="438" w:firstLineChars="200"/>
        <w:textAlignment w:val="auto"/>
        <w:rPr>
          <w:rFonts w:hint="eastAsia" w:ascii="方正仿宋_GBK" w:hAnsi="方正仿宋_GBK" w:eastAsia="仿宋" w:cs="方正仿宋_GBK"/>
          <w:color w:val="auto"/>
          <w:kern w:val="2"/>
          <w:sz w:val="24"/>
          <w:szCs w:val="28"/>
          <w:highlight w:val="none"/>
          <w:lang w:val="zh-CN" w:eastAsia="zh-CN" w:bidi="ar-SA"/>
        </w:rPr>
      </w:pPr>
      <w:r>
        <w:rPr>
          <w:rFonts w:hint="eastAsia" w:ascii="方正仿宋_GBK" w:hAnsi="方正仿宋_GBK" w:eastAsia="仿宋" w:cs="方正仿宋_GBK"/>
          <w:color w:val="auto"/>
          <w:kern w:val="2"/>
          <w:sz w:val="24"/>
          <w:szCs w:val="28"/>
          <w:highlight w:val="none"/>
          <w:lang w:val="zh-CN" w:eastAsia="zh-CN" w:bidi="ar-SA"/>
        </w:rPr>
        <w:t>合同签订并验收合格正常使用一月后支付合同金额的</w:t>
      </w:r>
      <w:r>
        <w:rPr>
          <w:rFonts w:hint="eastAsia" w:ascii="方正仿宋_GBK" w:hAnsi="方正仿宋_GBK" w:eastAsia="仿宋" w:cs="方正仿宋_GBK"/>
          <w:color w:val="auto"/>
          <w:kern w:val="2"/>
          <w:sz w:val="24"/>
          <w:szCs w:val="28"/>
          <w:highlight w:val="none"/>
          <w:lang w:val="en-US" w:eastAsia="zh-CN" w:bidi="ar-SA"/>
        </w:rPr>
        <w:t>70</w:t>
      </w:r>
      <w:r>
        <w:rPr>
          <w:rFonts w:hint="eastAsia" w:ascii="方正仿宋_GBK" w:hAnsi="方正仿宋_GBK" w:eastAsia="仿宋" w:cs="方正仿宋_GBK"/>
          <w:color w:val="auto"/>
          <w:kern w:val="2"/>
          <w:sz w:val="24"/>
          <w:szCs w:val="28"/>
          <w:highlight w:val="none"/>
          <w:lang w:val="zh-CN" w:eastAsia="zh-CN" w:bidi="ar-SA"/>
        </w:rPr>
        <w:t>%，正常</w:t>
      </w:r>
      <w:r>
        <w:rPr>
          <w:rFonts w:hint="eastAsia" w:ascii="方正仿宋_GBK" w:hAnsi="方正仿宋_GBK" w:eastAsia="仿宋" w:cs="方正仿宋_GBK"/>
          <w:color w:val="auto"/>
          <w:kern w:val="2"/>
          <w:sz w:val="24"/>
          <w:szCs w:val="28"/>
          <w:highlight w:val="none"/>
          <w:lang w:val="en-US" w:eastAsia="zh-CN" w:bidi="ar-SA"/>
        </w:rPr>
        <w:t>使用六个月后支付合同金额剩余的20%，质保期满支付合同金额的10%</w:t>
      </w:r>
      <w:r>
        <w:rPr>
          <w:rFonts w:hint="eastAsia" w:ascii="方正仿宋_GBK" w:hAnsi="方正仿宋_GBK" w:eastAsia="仿宋" w:cs="方正仿宋_GBK"/>
          <w:color w:val="auto"/>
          <w:kern w:val="2"/>
          <w:sz w:val="24"/>
          <w:szCs w:val="28"/>
          <w:highlight w:val="none"/>
          <w:lang w:val="zh-CN" w:eastAsia="zh-CN" w:bidi="ar-SA"/>
        </w:rPr>
        <w:t>。</w:t>
      </w:r>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eastAsia="仿宋" w:cs="宋体"/>
          <w:b/>
          <w:bCs/>
          <w:color w:val="auto"/>
          <w:szCs w:val="28"/>
          <w:highlight w:val="none"/>
          <w:lang w:val="en-US" w:eastAsia="zh-CN"/>
        </w:rPr>
      </w:pPr>
      <w:bookmarkStart w:id="327" w:name="_Toc20241"/>
      <w:bookmarkStart w:id="328" w:name="_Toc10172"/>
      <w:bookmarkStart w:id="329" w:name="_Toc7751"/>
      <w:bookmarkStart w:id="330" w:name="_Toc29902"/>
      <w:bookmarkStart w:id="331" w:name="_Toc22767"/>
      <w:bookmarkStart w:id="332" w:name="_Toc11353"/>
      <w:bookmarkStart w:id="333" w:name="_Toc7958"/>
      <w:bookmarkStart w:id="334" w:name="_Toc14117"/>
      <w:bookmarkStart w:id="335" w:name="_Toc20886"/>
      <w:bookmarkStart w:id="336" w:name="_Toc22926"/>
      <w:bookmarkStart w:id="337" w:name="_Toc7535"/>
      <w:bookmarkStart w:id="338" w:name="_Toc5053"/>
      <w:bookmarkStart w:id="339" w:name="_Toc7635"/>
      <w:bookmarkStart w:id="340" w:name="_Toc2924"/>
      <w:bookmarkStart w:id="341" w:name="_Toc6436"/>
      <w:bookmarkStart w:id="342" w:name="_Toc8878"/>
      <w:bookmarkStart w:id="343" w:name="_Toc17129"/>
      <w:bookmarkStart w:id="344" w:name="_Toc26454"/>
      <w:bookmarkStart w:id="345" w:name="_Toc27725"/>
      <w:bookmarkStart w:id="346" w:name="_Toc28191"/>
      <w:bookmarkStart w:id="347" w:name="_Toc63600420"/>
      <w:bookmarkStart w:id="348" w:name="_Toc9035"/>
      <w:bookmarkStart w:id="349" w:name="_Toc30462"/>
      <w:bookmarkStart w:id="350" w:name="_Toc1192"/>
      <w:bookmarkStart w:id="351" w:name="_Toc13963"/>
      <w:bookmarkStart w:id="352" w:name="_Toc30615"/>
      <w:bookmarkStart w:id="353" w:name="_Toc4758"/>
      <w:bookmarkStart w:id="354" w:name="_Toc14367"/>
      <w:r>
        <w:rPr>
          <w:rFonts w:hint="eastAsia" w:eastAsia="仿宋" w:cs="宋体"/>
          <w:b/>
          <w:bCs/>
          <w:color w:val="auto"/>
          <w:szCs w:val="28"/>
          <w:highlight w:val="none"/>
          <w:lang w:val="en-US" w:eastAsia="zh-CN"/>
        </w:rPr>
        <w:t>四、培训</w:t>
      </w:r>
      <w:bookmarkEnd w:id="327"/>
    </w:p>
    <w:p>
      <w:pPr>
        <w:keepNext w:val="0"/>
        <w:keepLines w:val="0"/>
        <w:pageBreakBefore w:val="0"/>
        <w:widowControl w:val="0"/>
        <w:kinsoku/>
        <w:wordWrap/>
        <w:overflowPunct/>
        <w:topLinePunct w:val="0"/>
        <w:autoSpaceDE/>
        <w:autoSpaceDN/>
        <w:bidi w:val="0"/>
        <w:adjustRightInd w:val="0"/>
        <w:snapToGrid w:val="0"/>
        <w:spacing w:line="520" w:lineRule="exact"/>
        <w:ind w:firstLine="438" w:firstLineChars="200"/>
        <w:jc w:val="left"/>
        <w:textAlignment w:val="auto"/>
        <w:rPr>
          <w:rFonts w:hint="eastAsia" w:ascii="方正仿宋_GBK" w:hAnsi="方正仿宋_GBK" w:eastAsia="仿宋" w:cs="方正仿宋_GBK"/>
          <w:color w:val="auto"/>
          <w:szCs w:val="28"/>
          <w:highlight w:val="none"/>
          <w:shd w:val="clear" w:color="auto" w:fill="auto"/>
          <w:lang w:eastAsia="zh-CN"/>
        </w:rPr>
      </w:pPr>
      <w:r>
        <w:rPr>
          <w:rFonts w:hint="eastAsia" w:ascii="方正仿宋_GBK" w:hAnsi="方正仿宋_GBK" w:eastAsia="仿宋" w:cs="方正仿宋_GBK"/>
          <w:color w:val="auto"/>
          <w:szCs w:val="28"/>
          <w:highlight w:val="none"/>
          <w:shd w:val="clear" w:color="auto" w:fill="auto"/>
          <w:lang w:val="en-US" w:eastAsia="zh-CN"/>
        </w:rPr>
        <w:t>成交人为采购人免费提供。</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eastAsia="仿宋" w:cs="宋体"/>
          <w:b/>
          <w:bCs/>
          <w:color w:val="auto"/>
          <w:szCs w:val="28"/>
          <w:highlight w:val="none"/>
          <w:lang w:val="en-US" w:eastAsia="zh-CN"/>
        </w:rPr>
      </w:pPr>
      <w:bookmarkStart w:id="355" w:name="_Toc7033"/>
      <w:r>
        <w:rPr>
          <w:rFonts w:hint="eastAsia" w:eastAsia="仿宋" w:cs="宋体"/>
          <w:b/>
          <w:bCs/>
          <w:color w:val="auto"/>
          <w:szCs w:val="28"/>
          <w:highlight w:val="none"/>
          <w:lang w:val="en-US" w:eastAsia="zh-CN"/>
        </w:rPr>
        <w:t>五、质保及售后服务</w:t>
      </w:r>
      <w:bookmarkEnd w:id="355"/>
    </w:p>
    <w:p>
      <w:pPr>
        <w:adjustRightInd w:val="0"/>
        <w:snapToGrid w:val="0"/>
        <w:spacing w:line="520" w:lineRule="exact"/>
        <w:ind w:firstLine="438" w:firstLineChars="200"/>
        <w:jc w:val="left"/>
        <w:rPr>
          <w:rFonts w:hint="eastAsia" w:ascii="方正仿宋_GBK" w:hAnsi="方正仿宋_GBK" w:eastAsia="仿宋" w:cs="方正仿宋_GBK"/>
          <w:color w:val="auto"/>
          <w:szCs w:val="28"/>
          <w:highlight w:val="none"/>
        </w:rPr>
      </w:pPr>
      <w:r>
        <w:rPr>
          <w:rFonts w:hint="eastAsia" w:ascii="方正仿宋_GBK" w:hAnsi="方正仿宋_GBK" w:eastAsia="仿宋" w:cs="方正仿宋_GBK"/>
          <w:color w:val="auto"/>
          <w:szCs w:val="28"/>
          <w:highlight w:val="none"/>
        </w:rPr>
        <w:t>（一）免费服务期</w:t>
      </w:r>
    </w:p>
    <w:p>
      <w:pPr>
        <w:adjustRightInd w:val="0"/>
        <w:snapToGrid w:val="0"/>
        <w:spacing w:line="520" w:lineRule="exact"/>
        <w:ind w:firstLine="438" w:firstLineChars="200"/>
        <w:jc w:val="left"/>
        <w:rPr>
          <w:rFonts w:hint="eastAsia" w:ascii="方正仿宋_GBK" w:hAnsi="方正仿宋_GBK" w:eastAsia="仿宋" w:cs="方正仿宋_GBK"/>
          <w:color w:val="auto"/>
          <w:szCs w:val="28"/>
          <w:highlight w:val="none"/>
          <w:lang w:eastAsia="zh-CN"/>
        </w:rPr>
      </w:pPr>
      <w:r>
        <w:rPr>
          <w:rFonts w:hint="eastAsia" w:ascii="方正仿宋_GBK" w:hAnsi="方正仿宋_GBK" w:eastAsia="仿宋" w:cs="方正仿宋_GBK"/>
          <w:color w:val="auto"/>
          <w:szCs w:val="28"/>
          <w:highlight w:val="none"/>
          <w:lang w:eastAsia="zh-CN"/>
        </w:rPr>
        <w:t>自验收合格之日起，免费质保维保服务：整套软、硬件质保一年。质保期内硬件非人为损坏提供免费维修或更换，提供24小时电话支持服务，电话解决不了的提供远程服务或者24小时内上门服务。</w:t>
      </w:r>
    </w:p>
    <w:p>
      <w:pPr>
        <w:adjustRightInd w:val="0"/>
        <w:snapToGrid w:val="0"/>
        <w:spacing w:line="520" w:lineRule="exact"/>
        <w:ind w:firstLine="438" w:firstLineChars="200"/>
        <w:jc w:val="left"/>
        <w:rPr>
          <w:rFonts w:hint="eastAsia" w:ascii="方正仿宋_GBK" w:hAnsi="方正仿宋_GBK" w:eastAsia="仿宋" w:cs="方正仿宋_GBK"/>
          <w:color w:val="auto"/>
          <w:szCs w:val="28"/>
          <w:highlight w:val="none"/>
        </w:rPr>
      </w:pPr>
      <w:r>
        <w:rPr>
          <w:rFonts w:hint="eastAsia" w:ascii="方正仿宋_GBK" w:hAnsi="方正仿宋_GBK" w:eastAsia="仿宋" w:cs="方正仿宋_GBK"/>
          <w:color w:val="auto"/>
          <w:szCs w:val="28"/>
          <w:highlight w:val="none"/>
        </w:rPr>
        <w:t>（二）质保期内服务要求</w:t>
      </w:r>
    </w:p>
    <w:p>
      <w:pPr>
        <w:adjustRightInd w:val="0"/>
        <w:snapToGrid w:val="0"/>
        <w:spacing w:line="520" w:lineRule="exact"/>
        <w:ind w:firstLine="438" w:firstLineChars="200"/>
        <w:jc w:val="left"/>
        <w:rPr>
          <w:rFonts w:hint="eastAsia" w:ascii="方正仿宋_GBK" w:hAnsi="方正仿宋_GBK" w:eastAsia="仿宋" w:cs="方正仿宋_GBK"/>
          <w:color w:val="auto"/>
          <w:szCs w:val="28"/>
          <w:highlight w:val="none"/>
          <w:lang w:val="en-US" w:eastAsia="zh-CN"/>
        </w:rPr>
      </w:pPr>
      <w:r>
        <w:rPr>
          <w:rFonts w:hint="eastAsia" w:ascii="方正仿宋_GBK" w:hAnsi="方正仿宋_GBK" w:eastAsia="仿宋" w:cs="方正仿宋_GBK"/>
          <w:color w:val="auto"/>
          <w:szCs w:val="28"/>
          <w:highlight w:val="none"/>
          <w:lang w:eastAsia="zh-CN"/>
        </w:rPr>
        <w:t>在质保期内，对于硬件或软件正常使用过程中出现的质量问题，成交供应商售后服务人员在接到反馈后</w:t>
      </w:r>
      <w:r>
        <w:rPr>
          <w:rFonts w:hint="eastAsia" w:ascii="方正仿宋_GBK" w:hAnsi="方正仿宋_GBK" w:eastAsia="仿宋" w:cs="方正仿宋_GBK"/>
          <w:color w:val="auto"/>
          <w:szCs w:val="28"/>
          <w:highlight w:val="none"/>
          <w:lang w:val="en-US" w:eastAsia="zh-CN"/>
        </w:rPr>
        <w:t>5分钟</w:t>
      </w:r>
      <w:r>
        <w:rPr>
          <w:rFonts w:hint="eastAsia" w:ascii="方正仿宋_GBK" w:hAnsi="方正仿宋_GBK" w:eastAsia="仿宋" w:cs="方正仿宋_GBK"/>
          <w:color w:val="auto"/>
          <w:szCs w:val="28"/>
          <w:highlight w:val="none"/>
          <w:lang w:eastAsia="zh-CN"/>
        </w:rPr>
        <w:t>内响应，一般问题4～8小时处理完成，安排维修人员到达现场并提出解决方案，重大问题48小时内处理完成,发生的全部费用由成交供应商承担，若需发回生产厂家，成交供应商承担往返费用，且无偿提供备用硬件。如故障不能立即解决或需异地调配零件，请尽量准确预计恢复时间，同时提供较为妥善的过渡方案。因硬件或软件本身质量问题所出现的故障，成交供应商将承担全部责任。</w:t>
      </w:r>
    </w:p>
    <w:p>
      <w:pPr>
        <w:keepNext w:val="0"/>
        <w:keepLines w:val="0"/>
        <w:pageBreakBefore w:val="0"/>
        <w:widowControl w:val="0"/>
        <w:kinsoku/>
        <w:wordWrap/>
        <w:overflowPunct/>
        <w:topLinePunct w:val="0"/>
        <w:autoSpaceDE/>
        <w:autoSpaceDN/>
        <w:bidi w:val="0"/>
        <w:spacing w:before="156" w:after="156" w:line="520" w:lineRule="exact"/>
        <w:ind w:firstLine="438" w:firstLineChars="200"/>
        <w:jc w:val="left"/>
        <w:textAlignment w:val="auto"/>
        <w:outlineLvl w:val="1"/>
        <w:rPr>
          <w:rFonts w:hint="eastAsia" w:ascii="Times New Roman" w:hAnsi="Times New Roman" w:eastAsia="仿宋" w:cs="宋体"/>
          <w:b/>
          <w:bCs/>
          <w:color w:val="auto"/>
          <w:szCs w:val="28"/>
          <w:highlight w:val="none"/>
          <w:lang w:val="en-US" w:eastAsia="zh-CN"/>
        </w:rPr>
      </w:pPr>
      <w:bookmarkStart w:id="356" w:name="_Toc11754"/>
      <w:r>
        <w:rPr>
          <w:rFonts w:hint="eastAsia" w:ascii="Times New Roman" w:hAnsi="Times New Roman" w:eastAsia="仿宋" w:cs="宋体"/>
          <w:b/>
          <w:bCs/>
          <w:color w:val="auto"/>
          <w:szCs w:val="28"/>
          <w:highlight w:val="none"/>
          <w:lang w:val="en-US" w:eastAsia="zh-CN"/>
        </w:rPr>
        <w:t>六、特殊要求及说明</w:t>
      </w:r>
    </w:p>
    <w:p>
      <w:pPr>
        <w:adjustRightInd w:val="0"/>
        <w:snapToGrid w:val="0"/>
        <w:spacing w:line="520" w:lineRule="exact"/>
        <w:ind w:firstLine="438" w:firstLineChars="200"/>
        <w:jc w:val="left"/>
        <w:rPr>
          <w:rFonts w:hint="eastAsia" w:ascii="方正仿宋_GBK" w:hAnsi="方正仿宋_GBK" w:eastAsia="仿宋" w:cs="方正仿宋_GBK"/>
          <w:color w:val="auto"/>
          <w:szCs w:val="28"/>
          <w:highlight w:val="none"/>
          <w:lang w:eastAsia="zh-CN"/>
        </w:rPr>
      </w:pPr>
      <w:r>
        <w:rPr>
          <w:rFonts w:hint="eastAsia" w:ascii="方正仿宋_GBK" w:hAnsi="方正仿宋_GBK" w:eastAsia="仿宋" w:cs="方正仿宋_GBK"/>
          <w:color w:val="auto"/>
          <w:szCs w:val="28"/>
          <w:highlight w:val="none"/>
          <w:lang w:val="en-US" w:eastAsia="zh-CN"/>
        </w:rPr>
        <w:t>为了保障系统转换时的顺利过渡，公司需提供尿试纸、体检报告、流程卡等材料，确保体检流程顺畅。</w:t>
      </w:r>
    </w:p>
    <w:p>
      <w:pPr>
        <w:spacing w:before="156" w:after="156" w:line="520" w:lineRule="exact"/>
        <w:ind w:firstLine="438" w:firstLineChars="200"/>
        <w:jc w:val="left"/>
        <w:outlineLvl w:val="1"/>
        <w:rPr>
          <w:rFonts w:eastAsia="仿宋" w:cs="宋体"/>
          <w:b/>
          <w:bCs/>
          <w:color w:val="auto"/>
          <w:szCs w:val="28"/>
          <w:highlight w:val="none"/>
        </w:rPr>
      </w:pPr>
      <w:r>
        <w:rPr>
          <w:rFonts w:hint="eastAsia" w:eastAsia="仿宋" w:cs="宋体"/>
          <w:b/>
          <w:bCs/>
          <w:color w:val="auto"/>
          <w:szCs w:val="28"/>
          <w:highlight w:val="none"/>
          <w:lang w:eastAsia="zh-CN"/>
        </w:rPr>
        <w:t>七</w:t>
      </w:r>
      <w:r>
        <w:rPr>
          <w:rFonts w:hint="eastAsia" w:eastAsia="仿宋" w:cs="宋体"/>
          <w:b/>
          <w:bCs/>
          <w:color w:val="auto"/>
          <w:szCs w:val="28"/>
          <w:highlight w:val="none"/>
        </w:rPr>
        <w:t>、其他</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6"/>
    </w:p>
    <w:p>
      <w:pPr>
        <w:adjustRightInd w:val="0"/>
        <w:snapToGrid w:val="0"/>
        <w:spacing w:line="520" w:lineRule="exact"/>
        <w:ind w:firstLine="438" w:firstLineChars="200"/>
        <w:jc w:val="left"/>
        <w:rPr>
          <w:rFonts w:ascii="方正仿宋_GBK" w:hAnsi="方正仿宋_GBK" w:eastAsia="仿宋" w:cs="方正仿宋_GBK"/>
          <w:color w:val="auto"/>
          <w:szCs w:val="28"/>
          <w:highlight w:val="none"/>
        </w:rPr>
      </w:pPr>
      <w:bookmarkStart w:id="357" w:name="_Hlk84946176"/>
      <w:r>
        <w:rPr>
          <w:rFonts w:hint="eastAsia" w:ascii="方正仿宋_GBK" w:hAnsi="方正仿宋_GBK" w:eastAsia="仿宋" w:cs="方正仿宋_GBK"/>
          <w:color w:val="auto"/>
          <w:szCs w:val="28"/>
          <w:highlight w:val="none"/>
        </w:rPr>
        <w:t>（一）供应商必须在响应文件中对以上条款和服务承诺明确列出，承诺内容必须达到本篇及</w:t>
      </w:r>
      <w:r>
        <w:rPr>
          <w:rFonts w:hint="eastAsia" w:ascii="方正仿宋_GBK" w:hAnsi="方正仿宋_GBK" w:eastAsia="仿宋" w:cs="方正仿宋_GBK"/>
          <w:color w:val="auto"/>
          <w:szCs w:val="28"/>
          <w:highlight w:val="none"/>
          <w:lang w:eastAsia="zh-CN"/>
        </w:rPr>
        <w:t>竞争性磋商</w:t>
      </w:r>
      <w:r>
        <w:rPr>
          <w:rFonts w:hint="eastAsia" w:ascii="方正仿宋_GBK" w:hAnsi="方正仿宋_GBK" w:eastAsia="仿宋" w:cs="方正仿宋_GBK"/>
          <w:color w:val="auto"/>
          <w:szCs w:val="28"/>
          <w:highlight w:val="none"/>
        </w:rPr>
        <w:t>文件其他条款的要求。</w:t>
      </w:r>
    </w:p>
    <w:p>
      <w:pPr>
        <w:adjustRightInd w:val="0"/>
        <w:snapToGrid w:val="0"/>
        <w:spacing w:line="520" w:lineRule="exact"/>
        <w:ind w:firstLine="438" w:firstLineChars="200"/>
        <w:jc w:val="left"/>
        <w:rPr>
          <w:rFonts w:ascii="方正仿宋_GBK" w:hAnsi="方正仿宋_GBK" w:eastAsia="仿宋" w:cs="方正仿宋_GBK"/>
          <w:color w:val="auto"/>
          <w:szCs w:val="28"/>
          <w:highlight w:val="none"/>
        </w:rPr>
      </w:pPr>
      <w:r>
        <w:rPr>
          <w:rFonts w:hint="eastAsia" w:ascii="方正仿宋_GBK" w:hAnsi="方正仿宋_GBK" w:eastAsia="仿宋" w:cs="方正仿宋_GBK"/>
          <w:color w:val="auto"/>
          <w:szCs w:val="28"/>
          <w:highlight w:val="none"/>
        </w:rPr>
        <w:t>（二）成交供应商确定后，由采购人和成交单位按照相关规定和程序办理有关手续，签订合同。</w:t>
      </w:r>
    </w:p>
    <w:p>
      <w:pPr>
        <w:adjustRightInd w:val="0"/>
        <w:snapToGrid w:val="0"/>
        <w:spacing w:line="520" w:lineRule="exact"/>
        <w:ind w:firstLine="438" w:firstLineChars="200"/>
        <w:jc w:val="left"/>
        <w:rPr>
          <w:rFonts w:ascii="方正仿宋_GBK" w:hAnsi="方正仿宋_GBK" w:eastAsia="仿宋" w:cs="方正仿宋_GBK"/>
          <w:color w:val="auto"/>
          <w:szCs w:val="28"/>
          <w:highlight w:val="none"/>
        </w:rPr>
      </w:pPr>
      <w:r>
        <w:rPr>
          <w:rFonts w:hint="eastAsia" w:ascii="方正仿宋_GBK" w:hAnsi="方正仿宋_GBK" w:eastAsia="仿宋" w:cs="方正仿宋_GBK"/>
          <w:color w:val="auto"/>
          <w:szCs w:val="28"/>
          <w:highlight w:val="none"/>
        </w:rPr>
        <w:t>（三）其他未尽事宜由供需双方在采购合同中详细约定。</w:t>
      </w:r>
      <w:bookmarkEnd w:id="357"/>
    </w:p>
    <w:p>
      <w:pPr>
        <w:adjustRightInd w:val="0"/>
        <w:snapToGrid w:val="0"/>
        <w:spacing w:line="520" w:lineRule="exact"/>
        <w:ind w:firstLine="438" w:firstLineChars="200"/>
        <w:jc w:val="left"/>
        <w:rPr>
          <w:rFonts w:ascii="方正仿宋_GBK" w:hAnsi="方正仿宋_GBK" w:eastAsia="仿宋" w:cs="方正仿宋_GBK"/>
          <w:color w:val="auto"/>
          <w:szCs w:val="28"/>
          <w:highlight w:val="none"/>
        </w:rPr>
        <w:sectPr>
          <w:headerReference r:id="rId6" w:type="default"/>
          <w:footerReference r:id="rId7" w:type="default"/>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pPr>
    </w:p>
    <w:bookmarkEnd w:id="255"/>
    <w:p>
      <w:pPr>
        <w:pStyle w:val="3"/>
        <w:numPr>
          <w:ilvl w:val="0"/>
          <w:numId w:val="0"/>
        </w:numPr>
        <w:spacing w:before="196" w:after="196"/>
        <w:ind w:leftChars="0"/>
        <w:jc w:val="both"/>
        <w:rPr>
          <w:color w:val="auto"/>
          <w:spacing w:val="-28"/>
          <w:szCs w:val="22"/>
          <w:highlight w:val="none"/>
        </w:rPr>
      </w:pPr>
      <w:bookmarkStart w:id="358" w:name="_Toc19592"/>
      <w:bookmarkStart w:id="359" w:name="_Toc7497"/>
      <w:bookmarkStart w:id="360" w:name="_Toc20828"/>
      <w:bookmarkStart w:id="361" w:name="_Toc29580"/>
      <w:bookmarkStart w:id="362" w:name="_Toc1839"/>
      <w:bookmarkStart w:id="363" w:name="_Toc29498"/>
      <w:bookmarkStart w:id="364" w:name="_Toc5105"/>
      <w:bookmarkStart w:id="365" w:name="_Toc22566"/>
      <w:bookmarkStart w:id="366" w:name="_Toc6833"/>
      <w:bookmarkStart w:id="367" w:name="_Toc1690"/>
      <w:bookmarkStart w:id="368" w:name="_Toc28660"/>
      <w:bookmarkStart w:id="369" w:name="_Toc3130"/>
      <w:bookmarkStart w:id="370" w:name="_Toc27935"/>
      <w:bookmarkStart w:id="371" w:name="_Toc22480"/>
      <w:bookmarkStart w:id="372" w:name="_Toc22499"/>
      <w:r>
        <w:rPr>
          <w:rFonts w:hint="eastAsia"/>
          <w:color w:val="auto"/>
          <w:spacing w:val="-28"/>
          <w:szCs w:val="22"/>
          <w:highlight w:val="none"/>
          <w:lang w:eastAsia="zh-CN"/>
        </w:rPr>
        <w:t>第四篇</w:t>
      </w:r>
      <w:r>
        <w:rPr>
          <w:rFonts w:hint="eastAsia"/>
          <w:color w:val="auto"/>
          <w:spacing w:val="-28"/>
          <w:szCs w:val="22"/>
          <w:highlight w:val="none"/>
          <w:lang w:val="en-US" w:eastAsia="zh-CN"/>
        </w:rPr>
        <w:t xml:space="preserve">  </w:t>
      </w:r>
      <w:r>
        <w:rPr>
          <w:rFonts w:hint="eastAsia"/>
          <w:color w:val="auto"/>
          <w:spacing w:val="-28"/>
          <w:szCs w:val="22"/>
          <w:highlight w:val="none"/>
        </w:rPr>
        <w:t>磋商程序及方法、评审标准、无效响应和采购终止</w:t>
      </w:r>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before="156" w:after="156" w:line="520" w:lineRule="exact"/>
        <w:ind w:firstLine="438" w:firstLineChars="200"/>
        <w:jc w:val="left"/>
        <w:outlineLvl w:val="1"/>
        <w:rPr>
          <w:rFonts w:eastAsia="仿宋" w:cs="宋体"/>
          <w:b/>
          <w:bCs/>
          <w:color w:val="auto"/>
          <w:szCs w:val="28"/>
          <w:highlight w:val="none"/>
        </w:rPr>
      </w:pPr>
      <w:bookmarkStart w:id="373" w:name="_Toc22465"/>
      <w:bookmarkStart w:id="374" w:name="_Toc32136"/>
      <w:bookmarkStart w:id="375" w:name="_Toc24307"/>
      <w:bookmarkStart w:id="376" w:name="_Toc1562"/>
      <w:bookmarkStart w:id="377" w:name="_Toc13835"/>
      <w:bookmarkStart w:id="378" w:name="_Toc32210"/>
      <w:bookmarkStart w:id="379" w:name="_Toc24613"/>
      <w:bookmarkStart w:id="380" w:name="_Toc9442"/>
      <w:bookmarkStart w:id="381" w:name="_Toc29327"/>
      <w:bookmarkStart w:id="382" w:name="_Toc22776"/>
      <w:bookmarkStart w:id="383" w:name="_Toc30420"/>
      <w:bookmarkStart w:id="384" w:name="_Toc10656"/>
      <w:bookmarkStart w:id="385" w:name="_Toc48837316"/>
      <w:bookmarkStart w:id="386" w:name="_Toc28893"/>
      <w:bookmarkStart w:id="387" w:name="_Toc27190"/>
      <w:bookmarkStart w:id="388" w:name="_Toc96"/>
      <w:bookmarkStart w:id="389" w:name="_Toc22527"/>
      <w:bookmarkStart w:id="390" w:name="_Toc12159"/>
      <w:bookmarkStart w:id="391" w:name="_Toc9779"/>
      <w:bookmarkStart w:id="392" w:name="_Toc13507"/>
      <w:bookmarkStart w:id="393" w:name="_Toc30732"/>
      <w:bookmarkStart w:id="394" w:name="_Toc28796"/>
      <w:bookmarkStart w:id="395" w:name="_Toc8498"/>
      <w:bookmarkStart w:id="396" w:name="_Toc11657"/>
      <w:bookmarkStart w:id="397" w:name="_Toc28762"/>
      <w:bookmarkStart w:id="398" w:name="_Toc24723"/>
      <w:r>
        <w:rPr>
          <w:rFonts w:hint="eastAsia" w:eastAsia="仿宋" w:cs="宋体"/>
          <w:b/>
          <w:bCs/>
          <w:color w:val="auto"/>
          <w:szCs w:val="28"/>
          <w:highlight w:val="none"/>
        </w:rPr>
        <w:t>一、磋商程序及方法</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spacing w:line="520" w:lineRule="exact"/>
        <w:ind w:firstLine="438" w:firstLineChars="200"/>
        <w:jc w:val="left"/>
        <w:rPr>
          <w:rFonts w:ascii="方正仿宋_GBK" w:hAnsi="仿宋" w:eastAsia="仿宋" w:cs="仿宋"/>
          <w:color w:val="auto"/>
          <w:kern w:val="0"/>
          <w:szCs w:val="28"/>
          <w:highlight w:val="none"/>
        </w:rPr>
      </w:pPr>
      <w:bookmarkStart w:id="399" w:name="_Toc26415"/>
      <w:bookmarkStart w:id="400" w:name="_Toc492721017"/>
      <w:bookmarkStart w:id="401" w:name="_Toc493506300"/>
      <w:bookmarkStart w:id="402" w:name="_Toc495592656"/>
      <w:r>
        <w:rPr>
          <w:rFonts w:hint="eastAsia" w:ascii="方正仿宋_GBK" w:hAnsi="仿宋" w:eastAsia="仿宋" w:cs="仿宋"/>
          <w:color w:val="auto"/>
          <w:kern w:val="0"/>
          <w:szCs w:val="28"/>
          <w:highlight w:val="none"/>
        </w:rPr>
        <w:t>（一）磋商按</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文件规定的时间和地点进行，供应商须有法定代表人（或其授权代表）或自然人参加并签到。</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以抽签的形式确定磋商顺序，由本项目依法组建的</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小组（以下简称磋商小组）分别与各供应商进行磋商。</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（二）磋商小组对各供应商的资格条件、响应文件的有效性、完整性和响应程度进行审查。各供应商只有在完全符合要求的前提下，才能参与正式磋商。</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1.资格性审查。依据法律法规和</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文件的规定，对响应文件中的资格证明等进行审查，以确定供应商是否具备磋商资格。资格性审查资料表如下：</w:t>
      </w:r>
    </w:p>
    <w:tbl>
      <w:tblPr>
        <w:tblStyle w:val="24"/>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47"/>
        <w:gridCol w:w="1724"/>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50" w:type="dxa"/>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序号</w:t>
            </w:r>
          </w:p>
        </w:tc>
        <w:tc>
          <w:tcPr>
            <w:tcW w:w="3271" w:type="dxa"/>
            <w:gridSpan w:val="2"/>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检查因素</w:t>
            </w:r>
          </w:p>
        </w:tc>
        <w:tc>
          <w:tcPr>
            <w:tcW w:w="5211" w:type="dxa"/>
            <w:vAlign w:val="center"/>
          </w:tcPr>
          <w:p>
            <w:pPr>
              <w:keepNext w:val="0"/>
              <w:keepLines w:val="0"/>
              <w:suppressLineNumbers w:val="0"/>
              <w:spacing w:before="0" w:beforeAutospacing="0" w:after="0" w:afterAutospacing="0"/>
              <w:ind w:left="0" w:right="0"/>
              <w:jc w:val="center"/>
              <w:rPr>
                <w:rFonts w:hint="default" w:eastAsia="仿宋"/>
                <w:b/>
                <w:bCs/>
                <w:color w:val="auto"/>
                <w:kern w:val="0"/>
                <w:sz w:val="21"/>
                <w:szCs w:val="21"/>
                <w:highlight w:val="none"/>
              </w:rPr>
            </w:pPr>
            <w:r>
              <w:rPr>
                <w:rFonts w:hint="eastAsia" w:eastAsia="仿宋"/>
                <w:b/>
                <w:bCs/>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750"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（一）</w:t>
            </w:r>
          </w:p>
        </w:tc>
        <w:tc>
          <w:tcPr>
            <w:tcW w:w="1547"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《中华人民共和国政府采购法》第二十二条规定</w:t>
            </w: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1.具有独立承担民事责任的能力</w:t>
            </w:r>
          </w:p>
        </w:tc>
        <w:tc>
          <w:tcPr>
            <w:tcW w:w="5211"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1.供应商法人营业执照（副本）或事业单位法人证书（副本）或个体工商户营业执照或有效的自然人身份证明或社会团体法人登记证书（提供复印件）；</w:t>
            </w:r>
          </w:p>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供应商法定代表人身份证明书和法定代表人授权代表委托书。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2.具有良好的商业信誉和健全的财务会计制度</w:t>
            </w:r>
          </w:p>
        </w:tc>
        <w:tc>
          <w:tcPr>
            <w:tcW w:w="5211" w:type="dxa"/>
            <w:vMerge w:val="restart"/>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2-5项供应商提供“基本资格条件承诺函”（格式见</w:t>
            </w:r>
            <w:r>
              <w:rPr>
                <w:rFonts w:hint="eastAsia" w:eastAsia="仿宋"/>
                <w:color w:val="auto"/>
                <w:kern w:val="0"/>
                <w:sz w:val="21"/>
                <w:szCs w:val="21"/>
                <w:highlight w:val="none"/>
                <w:lang w:eastAsia="zh-CN"/>
              </w:rPr>
              <w:t>第六篇</w:t>
            </w:r>
            <w:r>
              <w:rPr>
                <w:rFonts w:hint="eastAsia" w:eastAsia="仿宋"/>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3.具有履行合同所必需的设备和专业技术能力</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4.有依法缴纳税收和社会保障金的良好记录</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5.参加政府采购活动前三年内，在经营活动中没有重大违法记录</w:t>
            </w:r>
          </w:p>
        </w:tc>
        <w:tc>
          <w:tcPr>
            <w:tcW w:w="5211"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6.法律、行政法规规定的其他条件</w:t>
            </w:r>
          </w:p>
        </w:tc>
        <w:tc>
          <w:tcPr>
            <w:tcW w:w="5211"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50"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547"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4"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r>
              <w:rPr>
                <w:rFonts w:hint="eastAsia" w:eastAsia="仿宋"/>
                <w:color w:val="auto"/>
                <w:kern w:val="0"/>
                <w:sz w:val="21"/>
                <w:szCs w:val="21"/>
                <w:highlight w:val="none"/>
              </w:rPr>
              <w:t>7.特定资格条件</w:t>
            </w:r>
          </w:p>
        </w:tc>
        <w:tc>
          <w:tcPr>
            <w:tcW w:w="5211" w:type="dxa"/>
            <w:vAlign w:val="center"/>
          </w:tcPr>
          <w:p>
            <w:pPr>
              <w:keepNext w:val="0"/>
              <w:keepLines w:val="0"/>
              <w:suppressLineNumbers w:val="0"/>
              <w:spacing w:before="0" w:beforeAutospacing="0" w:after="0" w:afterAutospacing="0"/>
              <w:ind w:left="0" w:right="0"/>
              <w:jc w:val="left"/>
              <w:rPr>
                <w:rFonts w:hint="eastAsia" w:eastAsia="仿宋"/>
                <w:color w:val="auto"/>
                <w:kern w:val="0"/>
                <w:sz w:val="21"/>
                <w:szCs w:val="21"/>
                <w:highlight w:val="none"/>
                <w:lang w:val="en-US" w:eastAsia="zh-CN"/>
              </w:rPr>
            </w:pPr>
            <w:r>
              <w:rPr>
                <w:rFonts w:hint="eastAsia" w:eastAsia="仿宋"/>
                <w:color w:val="auto"/>
                <w:kern w:val="0"/>
                <w:sz w:val="21"/>
                <w:szCs w:val="21"/>
                <w:highlight w:val="none"/>
                <w:lang w:eastAsia="zh-CN"/>
              </w:rPr>
              <w:t>无</w:t>
            </w:r>
          </w:p>
        </w:tc>
      </w:tr>
    </w:tbl>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说明：以上资格检查证明材料，该年审的应当年审合格，设有效期的应当在有效期内，提供原件的应当有效。提供复印件的应当清晰可见并加盖供应商公章，评审现场能够提供原件以备查验。</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2.符合性审查。依据</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文件的规定，从响应文件的有效性、完整性和对</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文件的响应程度进行审查，以确定是否对</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文件的实质性要求作出响应。符合性审查资料表如下：</w:t>
      </w:r>
    </w:p>
    <w:tbl>
      <w:tblPr>
        <w:tblStyle w:val="24"/>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722"/>
        <w:gridCol w:w="1723"/>
        <w:gridCol w:w="5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74" w:type="dxa"/>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序号</w:t>
            </w:r>
          </w:p>
        </w:tc>
        <w:tc>
          <w:tcPr>
            <w:tcW w:w="3445" w:type="dxa"/>
            <w:gridSpan w:val="2"/>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评审因素</w:t>
            </w:r>
          </w:p>
        </w:tc>
        <w:tc>
          <w:tcPr>
            <w:tcW w:w="5058" w:type="dxa"/>
            <w:vAlign w:val="center"/>
          </w:tcPr>
          <w:p>
            <w:pPr>
              <w:keepNext w:val="0"/>
              <w:keepLines w:val="0"/>
              <w:suppressLineNumbers w:val="0"/>
              <w:spacing w:before="0" w:beforeAutospacing="0" w:after="0" w:afterAutospacing="0"/>
              <w:ind w:left="0" w:right="0"/>
              <w:jc w:val="center"/>
              <w:rPr>
                <w:rFonts w:hint="default" w:eastAsia="仿宋"/>
                <w:b/>
                <w:color w:val="auto"/>
                <w:kern w:val="0"/>
                <w:sz w:val="21"/>
                <w:szCs w:val="21"/>
                <w:highlight w:val="none"/>
              </w:rPr>
            </w:pPr>
            <w:r>
              <w:rPr>
                <w:rFonts w:hint="eastAsia" w:eastAsia="仿宋"/>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1</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有效性审查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响应文件签署</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方案</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lang w:val="zh-CN"/>
              </w:rPr>
              <w:t>每个分包只能有一个</w:t>
            </w:r>
            <w:r>
              <w:rPr>
                <w:rFonts w:hint="eastAsia" w:eastAsia="仿宋"/>
                <w:color w:val="auto"/>
                <w:sz w:val="22"/>
                <w:szCs w:val="22"/>
                <w:highlight w:val="none"/>
              </w:rPr>
              <w:t>响应</w:t>
            </w:r>
            <w:r>
              <w:rPr>
                <w:rFonts w:hint="eastAsia" w:eastAsia="仿宋"/>
                <w:color w:val="auto"/>
                <w:sz w:val="22"/>
                <w:szCs w:val="22"/>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报价唯一</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lang w:val="zh-CN"/>
              </w:rPr>
              <w:t>只能在采购预算</w:t>
            </w:r>
            <w:r>
              <w:rPr>
                <w:rFonts w:hint="eastAsia" w:eastAsia="仿宋"/>
                <w:color w:val="auto"/>
                <w:sz w:val="22"/>
                <w:szCs w:val="22"/>
                <w:highlight w:val="none"/>
              </w:rPr>
              <w:t>金额或最高限价内</w:t>
            </w:r>
            <w:r>
              <w:rPr>
                <w:rFonts w:hint="eastAsia" w:eastAsia="仿宋"/>
                <w:color w:val="auto"/>
                <w:sz w:val="22"/>
                <w:szCs w:val="22"/>
                <w:highlight w:val="none"/>
                <w:lang w:val="zh-CN"/>
              </w:rPr>
              <w:t>报价，</w:t>
            </w:r>
            <w:r>
              <w:rPr>
                <w:rFonts w:hint="eastAsia" w:eastAsia="仿宋"/>
                <w:color w:val="auto"/>
                <w:sz w:val="22"/>
                <w:szCs w:val="22"/>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2</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完整性审查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w:t>
            </w:r>
            <w:r>
              <w:rPr>
                <w:rFonts w:hint="eastAsia" w:eastAsia="仿宋"/>
                <w:color w:val="auto"/>
                <w:sz w:val="22"/>
                <w:szCs w:val="22"/>
                <w:highlight w:val="none"/>
                <w:lang w:val="zh-CN"/>
              </w:rPr>
              <w:t>文件份数</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sz w:val="22"/>
                <w:szCs w:val="22"/>
                <w:highlight w:val="none"/>
              </w:rPr>
              <w:t>响应</w:t>
            </w:r>
            <w:r>
              <w:rPr>
                <w:rFonts w:hint="eastAsia" w:eastAsia="仿宋"/>
                <w:color w:val="auto"/>
                <w:sz w:val="22"/>
                <w:szCs w:val="22"/>
                <w:highlight w:val="none"/>
                <w:lang w:val="zh-CN"/>
              </w:rPr>
              <w:t>文件正、副本数量符合</w:t>
            </w:r>
            <w:r>
              <w:rPr>
                <w:rFonts w:hint="eastAsia" w:eastAsia="仿宋"/>
                <w:color w:val="auto"/>
                <w:sz w:val="22"/>
                <w:szCs w:val="22"/>
                <w:highlight w:val="none"/>
                <w:lang w:eastAsia="zh-CN"/>
              </w:rPr>
              <w:t>竞争性磋商</w:t>
            </w:r>
            <w:r>
              <w:rPr>
                <w:rFonts w:hint="eastAsia" w:eastAsia="仿宋"/>
                <w:color w:val="auto"/>
                <w:sz w:val="22"/>
                <w:szCs w:val="22"/>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74"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文件内容</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sz w:val="22"/>
                <w:szCs w:val="22"/>
                <w:highlight w:val="none"/>
                <w:lang w:val="zh-CN"/>
              </w:rPr>
            </w:pPr>
            <w:r>
              <w:rPr>
                <w:rFonts w:hint="eastAsia" w:eastAsia="仿宋"/>
                <w:color w:val="auto"/>
                <w:sz w:val="22"/>
                <w:szCs w:val="22"/>
                <w:highlight w:val="none"/>
              </w:rPr>
              <w:t>响应</w:t>
            </w:r>
            <w:r>
              <w:rPr>
                <w:rFonts w:hint="eastAsia" w:eastAsia="仿宋"/>
                <w:color w:val="auto"/>
                <w:sz w:val="22"/>
                <w:szCs w:val="22"/>
                <w:highlight w:val="none"/>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4"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kern w:val="0"/>
                <w:sz w:val="21"/>
                <w:szCs w:val="21"/>
                <w:highlight w:val="none"/>
              </w:rPr>
            </w:pPr>
            <w:r>
              <w:rPr>
                <w:rFonts w:hint="eastAsia" w:eastAsia="仿宋"/>
                <w:color w:val="auto"/>
                <w:kern w:val="0"/>
                <w:sz w:val="21"/>
                <w:szCs w:val="21"/>
                <w:highlight w:val="none"/>
              </w:rPr>
              <w:t>3</w:t>
            </w:r>
          </w:p>
        </w:tc>
        <w:tc>
          <w:tcPr>
            <w:tcW w:w="1722" w:type="dxa"/>
            <w:vMerge w:val="restart"/>
            <w:vAlign w:val="center"/>
          </w:tcPr>
          <w:p>
            <w:pPr>
              <w:keepNext w:val="0"/>
              <w:keepLines w:val="0"/>
              <w:suppressLineNumbers w:val="0"/>
              <w:spacing w:before="0" w:beforeAutospacing="0" w:after="0" w:afterAutospacing="0"/>
              <w:ind w:left="0" w:right="0"/>
              <w:jc w:val="center"/>
              <w:rPr>
                <w:rFonts w:hint="default" w:eastAsia="仿宋"/>
                <w:color w:val="auto"/>
                <w:sz w:val="21"/>
                <w:szCs w:val="21"/>
                <w:highlight w:val="none"/>
                <w:lang w:val="zh-CN"/>
              </w:rPr>
            </w:pPr>
            <w:r>
              <w:rPr>
                <w:rFonts w:hint="eastAsia" w:eastAsia="仿宋"/>
                <w:color w:val="auto"/>
                <w:kern w:val="0"/>
                <w:sz w:val="21"/>
                <w:szCs w:val="21"/>
                <w:highlight w:val="none"/>
                <w:lang w:eastAsia="zh-CN"/>
              </w:rPr>
              <w:t>竞争性磋商</w:t>
            </w:r>
            <w:r>
              <w:rPr>
                <w:rFonts w:hint="eastAsia" w:eastAsia="仿宋"/>
                <w:color w:val="auto"/>
                <w:kern w:val="0"/>
                <w:sz w:val="21"/>
                <w:szCs w:val="21"/>
                <w:highlight w:val="none"/>
              </w:rPr>
              <w:t>文件的响应程度审查</w:t>
            </w: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rPr>
              <w:t>响应文件内容</w:t>
            </w:r>
          </w:p>
        </w:tc>
        <w:tc>
          <w:tcPr>
            <w:tcW w:w="5058" w:type="dxa"/>
            <w:vAlign w:val="center"/>
          </w:tcPr>
          <w:p>
            <w:pPr>
              <w:pStyle w:val="11"/>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lang w:eastAsia="zh-CN"/>
              </w:rPr>
              <w:t>竞争性磋商</w:t>
            </w:r>
            <w:r>
              <w:rPr>
                <w:rFonts w:hint="eastAsia" w:eastAsia="仿宋"/>
                <w:color w:val="auto"/>
                <w:kern w:val="0"/>
                <w:sz w:val="22"/>
                <w:szCs w:val="22"/>
                <w:highlight w:val="none"/>
              </w:rPr>
              <w:t>文件第二篇、第三篇。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74"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kern w:val="0"/>
                <w:sz w:val="21"/>
                <w:szCs w:val="21"/>
                <w:highlight w:val="none"/>
              </w:rPr>
            </w:pPr>
          </w:p>
        </w:tc>
        <w:tc>
          <w:tcPr>
            <w:tcW w:w="1722" w:type="dxa"/>
            <w:vMerge w:val="continue"/>
            <w:vAlign w:val="center"/>
          </w:tcPr>
          <w:p>
            <w:pPr>
              <w:keepNext w:val="0"/>
              <w:keepLines w:val="0"/>
              <w:suppressLineNumbers w:val="0"/>
              <w:spacing w:before="0" w:beforeAutospacing="0" w:after="0" w:afterAutospacing="0"/>
              <w:ind w:left="0" w:right="0"/>
              <w:jc w:val="left"/>
              <w:rPr>
                <w:rFonts w:hint="default" w:eastAsia="仿宋"/>
                <w:color w:val="auto"/>
                <w:sz w:val="21"/>
                <w:szCs w:val="21"/>
                <w:highlight w:val="none"/>
                <w:lang w:val="zh-CN"/>
              </w:rPr>
            </w:pPr>
          </w:p>
        </w:tc>
        <w:tc>
          <w:tcPr>
            <w:tcW w:w="1723"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rPr>
              <w:t>磋商有效期</w:t>
            </w:r>
          </w:p>
        </w:tc>
        <w:tc>
          <w:tcPr>
            <w:tcW w:w="5058" w:type="dxa"/>
            <w:vAlign w:val="center"/>
          </w:tcPr>
          <w:p>
            <w:pPr>
              <w:keepNext w:val="0"/>
              <w:keepLines w:val="0"/>
              <w:suppressLineNumbers w:val="0"/>
              <w:spacing w:before="0" w:beforeAutospacing="0" w:after="0" w:afterAutospacing="0"/>
              <w:ind w:left="0" w:right="0"/>
              <w:jc w:val="left"/>
              <w:rPr>
                <w:rFonts w:hint="default" w:eastAsia="仿宋"/>
                <w:color w:val="auto"/>
                <w:kern w:val="0"/>
                <w:sz w:val="22"/>
                <w:szCs w:val="22"/>
                <w:highlight w:val="none"/>
              </w:rPr>
            </w:pPr>
            <w:r>
              <w:rPr>
                <w:rFonts w:hint="eastAsia" w:eastAsia="仿宋"/>
                <w:color w:val="auto"/>
                <w:kern w:val="0"/>
                <w:sz w:val="22"/>
                <w:szCs w:val="22"/>
                <w:highlight w:val="none"/>
              </w:rPr>
              <w:t>响应文件及有关承诺文件有效期为提交响应文件截止时间起90天</w:t>
            </w:r>
          </w:p>
        </w:tc>
      </w:tr>
    </w:tbl>
    <w:p>
      <w:pPr>
        <w:spacing w:line="520" w:lineRule="exact"/>
        <w:ind w:firstLine="438" w:firstLineChars="200"/>
        <w:jc w:val="left"/>
        <w:rPr>
          <w:rFonts w:hint="eastAsia" w:ascii="方正仿宋_GBK" w:hAnsi="仿宋" w:eastAsia="仿宋" w:cs="仿宋"/>
          <w:color w:val="auto"/>
          <w:kern w:val="0"/>
          <w:szCs w:val="28"/>
          <w:highlight w:val="none"/>
        </w:rPr>
      </w:pPr>
      <w:bookmarkStart w:id="403" w:name="_Toc7410"/>
      <w:bookmarkStart w:id="404" w:name="_Toc981"/>
      <w:bookmarkStart w:id="405" w:name="_Toc14750"/>
      <w:bookmarkStart w:id="406" w:name="_Toc13978"/>
      <w:bookmarkStart w:id="407" w:name="_Toc20991"/>
      <w:bookmarkStart w:id="408" w:name="_Toc3255"/>
      <w:bookmarkStart w:id="409" w:name="_Toc32625"/>
      <w:bookmarkStart w:id="410" w:name="_Toc6010"/>
      <w:bookmarkStart w:id="411" w:name="_Toc5083"/>
      <w:bookmarkStart w:id="412" w:name="_Toc5149"/>
      <w:bookmarkStart w:id="413" w:name="_Toc9513"/>
      <w:bookmarkStart w:id="414" w:name="_Toc28674"/>
      <w:bookmarkStart w:id="415" w:name="_Toc20066"/>
      <w:bookmarkStart w:id="416" w:name="_Toc8366"/>
      <w:bookmarkStart w:id="417" w:name="_Toc32741"/>
      <w:bookmarkStart w:id="418" w:name="_Toc861"/>
      <w:bookmarkStart w:id="419" w:name="_Toc25800"/>
      <w:bookmarkStart w:id="420" w:name="_Toc29339"/>
      <w:bookmarkStart w:id="421" w:name="_Toc8521"/>
      <w:bookmarkStart w:id="422" w:name="_Toc31146"/>
      <w:bookmarkStart w:id="423" w:name="_Toc15483"/>
      <w:bookmarkStart w:id="424" w:name="_Toc9744"/>
      <w:bookmarkStart w:id="425" w:name="_Toc4709"/>
      <w:bookmarkStart w:id="426" w:name="_Toc48837317"/>
      <w:bookmarkStart w:id="427" w:name="_Toc32094"/>
      <w:bookmarkStart w:id="428" w:name="_Toc31234"/>
      <w:r>
        <w:rPr>
          <w:rFonts w:hint="eastAsia" w:ascii="方正仿宋_GBK" w:hAnsi="仿宋" w:eastAsia="仿宋" w:cs="仿宋"/>
          <w:color w:val="auto"/>
          <w:kern w:val="0"/>
          <w:szCs w:val="28"/>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（五）在磋商过程中磋商的任何一方不得向他人透露与磋商有关的服务资料、价格或其他信息。</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（七）供应商在磋商时作出的所有书面承诺须由法定代表人（或其授权代表）或自然人（供应商为自然人）签署。</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八</w:t>
      </w:r>
      <w:r>
        <w:rPr>
          <w:rFonts w:hint="eastAsia" w:ascii="方正仿宋_GBK" w:hAnsi="仿宋" w:eastAsia="仿宋" w:cs="仿宋"/>
          <w:color w:val="auto"/>
          <w:kern w:val="0"/>
          <w:szCs w:val="28"/>
          <w:highlight w:val="none"/>
        </w:rPr>
        <w:t>）磋商小组采用综合评分法对供应商的响应文件和报价（含有效书面承诺）进行综合评分。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九</w:t>
      </w:r>
      <w:r>
        <w:rPr>
          <w:rFonts w:hint="eastAsia" w:ascii="方正仿宋_GBK" w:hAnsi="仿宋" w:eastAsia="仿宋" w:cs="仿宋"/>
          <w:color w:val="auto"/>
          <w:kern w:val="0"/>
          <w:szCs w:val="28"/>
          <w:highlight w:val="none"/>
        </w:rPr>
        <w:t>）磋商小组各成员独立对每个有效供应商（通过资格审查、符合性审查的供应商）的响应文件进行评价、打分，然后汇总每个供应商每项评分因素的得分。由磋商小组对各成员打分情况进行核查及复核，个别成员对同一供应商同一评分项的打分偏离较大的，应对供应商的响应文件进行再次核对，确属打分有误的，应及时进行修正。复核后，磋商小组汇总每个供应商每项评分因素的得分。评审结果汇总完成后，除资格性检查认定错误、分值汇总计算错误、分项评分超出评分标准范围、客观分评分不一致、经磋商小组一致认定评分畸高、畸低的情形外，采购人或者采购代理机构不得以任何理由组织重新评审。</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采购人或代理机构应当核对、校对评审数据，出现上款规定情形的，提示磋商小组复核或者书面说明理由，磋商小组拒绝的，应予以记录并向本级财政部门报告。</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十）磋商小组根据综合评分情况按照评审得分由高到低顺序推荐3名以上成交候选供应商，并编写评审报告。若供应商的评审得分相同的，按照报价由低到高的顺序排列推荐。评审得分且报价相同的，按照服务指标优劣顺序排列推荐。以上都相同的，按商务条款的优劣顺序排列推荐。若所推荐的成交供应商的服务部分为0分，将失去成为成交候选供应商的资格。</w:t>
      </w:r>
    </w:p>
    <w:p>
      <w:pPr>
        <w:spacing w:before="156" w:after="156" w:line="520" w:lineRule="exact"/>
        <w:ind w:firstLine="438" w:firstLineChars="200"/>
        <w:jc w:val="left"/>
        <w:outlineLvl w:val="1"/>
        <w:rPr>
          <w:rFonts w:hint="eastAsia" w:ascii="Times New Roman" w:hAnsi="Times New Roman" w:eastAsia="仿宋" w:cs="宋体"/>
          <w:b/>
          <w:bCs/>
          <w:color w:val="auto"/>
          <w:szCs w:val="28"/>
          <w:highlight w:val="none"/>
        </w:rPr>
      </w:pPr>
      <w:r>
        <w:rPr>
          <w:rFonts w:hint="eastAsia" w:ascii="Times New Roman" w:hAnsi="Times New Roman" w:eastAsia="仿宋" w:cs="宋体"/>
          <w:b/>
          <w:bCs/>
          <w:color w:val="auto"/>
          <w:szCs w:val="28"/>
          <w:highlight w:val="none"/>
          <w:lang w:eastAsia="zh-CN"/>
        </w:rPr>
        <w:t>二、</w:t>
      </w:r>
      <w:r>
        <w:rPr>
          <w:rFonts w:hint="eastAsia" w:ascii="Times New Roman" w:hAnsi="Times New Roman" w:eastAsia="仿宋" w:cs="宋体"/>
          <w:b/>
          <w:bCs/>
          <w:color w:val="auto"/>
          <w:szCs w:val="28"/>
          <w:highlight w:val="none"/>
        </w:rPr>
        <w:t>评审标准</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tbl>
      <w:tblPr>
        <w:tblStyle w:val="24"/>
        <w:tblpPr w:leftFromText="180" w:rightFromText="180" w:vertAnchor="text" w:horzAnchor="page" w:tblpXSpec="center" w:tblpY="846"/>
        <w:tblOverlap w:val="never"/>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123"/>
        <w:gridCol w:w="5050"/>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16"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bookmarkStart w:id="429" w:name="_Toc394390666"/>
            <w:r>
              <w:rPr>
                <w:rFonts w:hint="eastAsia" w:ascii="方正仿宋_GBK" w:hAnsi="仿宋" w:eastAsia="仿宋" w:cs="仿宋"/>
                <w:color w:val="auto"/>
                <w:kern w:val="0"/>
                <w:szCs w:val="28"/>
                <w:highlight w:val="none"/>
              </w:rPr>
              <w:t>评分因素及权重</w:t>
            </w:r>
          </w:p>
        </w:tc>
        <w:tc>
          <w:tcPr>
            <w:tcW w:w="1123"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分值</w:t>
            </w:r>
          </w:p>
        </w:tc>
        <w:tc>
          <w:tcPr>
            <w:tcW w:w="5050"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评分标准</w:t>
            </w:r>
          </w:p>
        </w:tc>
        <w:tc>
          <w:tcPr>
            <w:tcW w:w="1819"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16"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en-US" w:eastAsia="zh-CN"/>
              </w:rPr>
              <w:t>投标报价</w:t>
            </w:r>
            <w:r>
              <w:rPr>
                <w:rFonts w:hint="eastAsia" w:ascii="方正仿宋_GBK" w:hAnsi="仿宋" w:eastAsia="仿宋" w:cs="仿宋"/>
                <w:color w:val="auto"/>
                <w:kern w:val="0"/>
                <w:szCs w:val="28"/>
                <w:highlight w:val="none"/>
                <w:lang w:val="en-US" w:eastAsia="zh-CN"/>
              </w:rPr>
              <w:br w:type="textWrapping"/>
            </w:r>
            <w:r>
              <w:rPr>
                <w:rFonts w:hint="eastAsia" w:ascii="方正仿宋_GBK" w:hAnsi="仿宋" w:eastAsia="仿宋" w:cs="仿宋"/>
                <w:color w:val="auto"/>
                <w:kern w:val="0"/>
                <w:szCs w:val="28"/>
                <w:highlight w:val="none"/>
                <w:lang w:val="en-US" w:eastAsia="zh-CN"/>
              </w:rPr>
              <w:t>（30%）</w:t>
            </w:r>
          </w:p>
        </w:tc>
        <w:tc>
          <w:tcPr>
            <w:tcW w:w="1123"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en-US" w:eastAsia="zh-CN"/>
              </w:rPr>
              <w:t>30分</w:t>
            </w:r>
          </w:p>
        </w:tc>
        <w:tc>
          <w:tcPr>
            <w:tcW w:w="5050"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有效的投标报价中的最低价为评标基准价，其价格分为满分。其他投标人的价格分统一按照下列公式计算：</w:t>
            </w:r>
            <w:r>
              <w:rPr>
                <w:rFonts w:hint="eastAsia" w:ascii="方正仿宋_GBK" w:hAnsi="仿宋" w:eastAsia="仿宋" w:cs="仿宋"/>
                <w:color w:val="auto"/>
                <w:kern w:val="0"/>
                <w:szCs w:val="28"/>
                <w:highlight w:val="none"/>
                <w:lang w:val="en-US" w:eastAsia="zh-CN"/>
              </w:rPr>
              <w:br w:type="textWrapping"/>
            </w:r>
            <w:r>
              <w:rPr>
                <w:rFonts w:hint="eastAsia" w:ascii="方正仿宋_GBK" w:hAnsi="仿宋" w:eastAsia="仿宋" w:cs="仿宋"/>
                <w:color w:val="auto"/>
                <w:kern w:val="0"/>
                <w:szCs w:val="28"/>
                <w:highlight w:val="none"/>
                <w:lang w:val="en-US" w:eastAsia="zh-CN"/>
              </w:rPr>
              <w:t>投标报价得分＝（评标基准价/投标报价）×价格权重×100。</w:t>
            </w:r>
          </w:p>
        </w:tc>
        <w:tc>
          <w:tcPr>
            <w:tcW w:w="1819" w:type="dxa"/>
            <w:noWrap w:val="0"/>
            <w:vAlign w:val="center"/>
          </w:tcPr>
          <w:p>
            <w:pPr>
              <w:keepNext w:val="0"/>
              <w:keepLines w:val="0"/>
              <w:suppressLineNumbers w:val="0"/>
              <w:spacing w:before="0" w:beforeAutospacing="0" w:after="0" w:afterAutospacing="0" w:line="520" w:lineRule="exact"/>
              <w:ind w:left="0" w:right="0" w:firstLine="438" w:firstLineChars="200"/>
              <w:jc w:val="center"/>
              <w:rPr>
                <w:rFonts w:hint="eastAsia" w:ascii="方正仿宋_GBK" w:hAnsi="仿宋" w:eastAsia="仿宋" w:cs="仿宋"/>
                <w:color w:val="auto"/>
                <w:kern w:val="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316" w:type="dxa"/>
            <w:vMerge w:val="restart"/>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技术部分（40%）</w:t>
            </w:r>
          </w:p>
        </w:tc>
        <w:tc>
          <w:tcPr>
            <w:tcW w:w="1123" w:type="dxa"/>
            <w:vMerge w:val="restart"/>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40分</w:t>
            </w:r>
          </w:p>
        </w:tc>
        <w:tc>
          <w:tcPr>
            <w:tcW w:w="5050" w:type="dxa"/>
            <w:noWrap w:val="0"/>
            <w:vAlign w:val="center"/>
          </w:tcPr>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default" w:ascii="方正仿宋_GBK" w:hAnsi="仿宋" w:eastAsia="仿宋" w:cs="仿宋"/>
                <w:color w:val="auto"/>
                <w:kern w:val="0"/>
                <w:szCs w:val="28"/>
                <w:highlight w:val="none"/>
                <w:lang w:val="en-US" w:eastAsia="zh-CN"/>
              </w:rPr>
              <w:t>1、项目实施方案</w:t>
            </w:r>
            <w:r>
              <w:rPr>
                <w:rFonts w:hint="eastAsia" w:ascii="方正仿宋_GBK" w:hAnsi="仿宋" w:eastAsia="仿宋" w:cs="仿宋"/>
                <w:color w:val="auto"/>
                <w:kern w:val="0"/>
                <w:szCs w:val="28"/>
                <w:highlight w:val="none"/>
                <w:lang w:val="en-US" w:eastAsia="zh-CN"/>
              </w:rPr>
              <w:t>(5分）</w:t>
            </w:r>
          </w:p>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en-US" w:eastAsia="zh-CN"/>
              </w:rPr>
              <w:t>包括不限于</w:t>
            </w:r>
            <w:r>
              <w:rPr>
                <w:rFonts w:hint="default" w:ascii="方正仿宋_GBK" w:hAnsi="仿宋" w:eastAsia="仿宋" w:cs="仿宋"/>
                <w:color w:val="auto"/>
                <w:kern w:val="0"/>
                <w:szCs w:val="28"/>
                <w:highlight w:val="none"/>
                <w:lang w:val="zh-CN" w:eastAsia="zh-CN"/>
              </w:rPr>
              <w:t>：供应商的组织机构、体检数据疾病风险评估分析、信息化体检系统的状况进行详细的分析阐述</w:t>
            </w:r>
            <w:r>
              <w:rPr>
                <w:rFonts w:hint="eastAsia" w:ascii="方正仿宋_GBK" w:hAnsi="仿宋" w:eastAsia="仿宋" w:cs="仿宋"/>
                <w:color w:val="auto"/>
                <w:kern w:val="0"/>
                <w:szCs w:val="28"/>
                <w:highlight w:val="none"/>
                <w:lang w:val="zh-CN" w:eastAsia="zh-CN"/>
              </w:rPr>
              <w:t>：</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方案内容完整，具有针对性和可行性，科学合理</w:t>
            </w:r>
            <w:r>
              <w:rPr>
                <w:rFonts w:hint="eastAsia" w:ascii="方正仿宋_GBK" w:hAnsi="仿宋" w:eastAsia="仿宋" w:cs="仿宋"/>
                <w:color w:val="auto"/>
                <w:kern w:val="0"/>
                <w:szCs w:val="28"/>
                <w:highlight w:val="none"/>
                <w:lang w:val="en-US" w:eastAsia="zh-CN"/>
              </w:rPr>
              <w:t>可行为</w:t>
            </w:r>
            <w:r>
              <w:rPr>
                <w:rFonts w:hint="default" w:ascii="方正仿宋_GBK" w:hAnsi="仿宋" w:eastAsia="仿宋" w:cs="仿宋"/>
                <w:color w:val="auto"/>
                <w:kern w:val="0"/>
                <w:szCs w:val="28"/>
                <w:highlight w:val="none"/>
                <w:lang w:val="zh-CN" w:eastAsia="zh-CN"/>
              </w:rPr>
              <w:t>优得</w:t>
            </w:r>
            <w:r>
              <w:rPr>
                <w:rFonts w:hint="default" w:ascii="方正仿宋_GBK" w:hAnsi="仿宋" w:eastAsia="仿宋" w:cs="仿宋"/>
                <w:color w:val="auto"/>
                <w:kern w:val="0"/>
                <w:szCs w:val="28"/>
                <w:highlight w:val="none"/>
                <w:lang w:val="en-US" w:eastAsia="zh-CN"/>
              </w:rPr>
              <w:t>4-5</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完整，有针对性</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可行，</w:t>
            </w:r>
            <w:r>
              <w:rPr>
                <w:rFonts w:hint="eastAsia" w:ascii="方正仿宋_GBK" w:hAnsi="仿宋" w:eastAsia="仿宋" w:cs="仿宋"/>
                <w:color w:val="auto"/>
                <w:kern w:val="0"/>
                <w:szCs w:val="28"/>
                <w:highlight w:val="none"/>
                <w:lang w:val="zh-CN" w:eastAsia="zh-CN"/>
              </w:rPr>
              <w:t>较</w:t>
            </w:r>
            <w:r>
              <w:rPr>
                <w:rFonts w:hint="default" w:ascii="方正仿宋_GBK" w:hAnsi="仿宋" w:eastAsia="仿宋" w:cs="仿宋"/>
                <w:color w:val="auto"/>
                <w:kern w:val="0"/>
                <w:szCs w:val="28"/>
                <w:highlight w:val="none"/>
                <w:lang w:val="zh-CN" w:eastAsia="zh-CN"/>
              </w:rPr>
              <w:t>科学合理</w:t>
            </w:r>
            <w:r>
              <w:rPr>
                <w:rFonts w:hint="eastAsia" w:ascii="方正仿宋_GBK" w:hAnsi="仿宋" w:eastAsia="仿宋" w:cs="仿宋"/>
                <w:color w:val="auto"/>
                <w:kern w:val="0"/>
                <w:szCs w:val="28"/>
                <w:highlight w:val="none"/>
                <w:lang w:val="en-US" w:eastAsia="zh-CN"/>
              </w:rPr>
              <w:t>为</w:t>
            </w:r>
            <w:r>
              <w:rPr>
                <w:rFonts w:hint="default" w:ascii="方正仿宋_GBK" w:hAnsi="仿宋" w:eastAsia="仿宋" w:cs="仿宋"/>
                <w:color w:val="auto"/>
                <w:kern w:val="0"/>
                <w:szCs w:val="28"/>
                <w:highlight w:val="none"/>
                <w:lang w:val="zh-CN" w:eastAsia="zh-CN"/>
              </w:rPr>
              <w:t>良得</w:t>
            </w:r>
            <w:r>
              <w:rPr>
                <w:rFonts w:hint="default" w:ascii="方正仿宋_GBK" w:hAnsi="仿宋" w:eastAsia="仿宋" w:cs="仿宋"/>
                <w:color w:val="auto"/>
                <w:kern w:val="0"/>
                <w:szCs w:val="28"/>
                <w:highlight w:val="none"/>
                <w:lang w:val="en-US" w:eastAsia="zh-CN"/>
              </w:rPr>
              <w:t>2-3</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较为不</w:t>
            </w:r>
            <w:r>
              <w:rPr>
                <w:rFonts w:hint="default" w:ascii="方正仿宋_GBK" w:hAnsi="仿宋" w:eastAsia="仿宋" w:cs="仿宋"/>
                <w:color w:val="auto"/>
                <w:kern w:val="0"/>
                <w:szCs w:val="28"/>
                <w:highlight w:val="none"/>
                <w:lang w:val="zh-CN" w:eastAsia="zh-CN"/>
              </w:rPr>
              <w:t>完整，</w:t>
            </w:r>
            <w:r>
              <w:rPr>
                <w:rFonts w:hint="eastAsia" w:ascii="方正仿宋_GBK" w:hAnsi="仿宋" w:eastAsia="仿宋" w:cs="仿宋"/>
                <w:color w:val="auto"/>
                <w:kern w:val="0"/>
                <w:szCs w:val="28"/>
                <w:highlight w:val="none"/>
                <w:lang w:val="zh-CN" w:eastAsia="zh-CN"/>
              </w:rPr>
              <w:t>不具</w:t>
            </w:r>
            <w:r>
              <w:rPr>
                <w:rFonts w:hint="default" w:ascii="方正仿宋_GBK" w:hAnsi="仿宋" w:eastAsia="仿宋" w:cs="仿宋"/>
                <w:color w:val="auto"/>
                <w:kern w:val="0"/>
                <w:szCs w:val="28"/>
                <w:highlight w:val="none"/>
                <w:lang w:val="zh-CN" w:eastAsia="zh-CN"/>
              </w:rPr>
              <w:t>有针对性和可行性，</w:t>
            </w:r>
            <w:r>
              <w:rPr>
                <w:rFonts w:hint="eastAsia" w:ascii="方正仿宋_GBK" w:hAnsi="仿宋" w:eastAsia="仿宋" w:cs="仿宋"/>
                <w:color w:val="auto"/>
                <w:kern w:val="0"/>
                <w:szCs w:val="28"/>
                <w:highlight w:val="none"/>
                <w:lang w:val="zh-CN" w:eastAsia="zh-CN"/>
              </w:rPr>
              <w:t>不</w:t>
            </w:r>
            <w:r>
              <w:rPr>
                <w:rFonts w:hint="default" w:ascii="方正仿宋_GBK" w:hAnsi="仿宋" w:eastAsia="仿宋" w:cs="仿宋"/>
                <w:color w:val="auto"/>
                <w:kern w:val="0"/>
                <w:szCs w:val="28"/>
                <w:highlight w:val="none"/>
                <w:lang w:val="zh-CN" w:eastAsia="zh-CN"/>
              </w:rPr>
              <w:t>科学合理</w:t>
            </w:r>
            <w:r>
              <w:rPr>
                <w:rFonts w:hint="eastAsia" w:ascii="方正仿宋_GBK" w:hAnsi="仿宋" w:eastAsia="仿宋" w:cs="仿宋"/>
                <w:color w:val="auto"/>
                <w:kern w:val="0"/>
                <w:szCs w:val="28"/>
                <w:highlight w:val="none"/>
                <w:lang w:val="en-US" w:eastAsia="zh-CN"/>
              </w:rPr>
              <w:t>可行</w:t>
            </w:r>
            <w:r>
              <w:rPr>
                <w:rFonts w:hint="default" w:ascii="方正仿宋_GBK" w:hAnsi="仿宋" w:eastAsia="仿宋" w:cs="仿宋"/>
                <w:color w:val="auto"/>
                <w:kern w:val="0"/>
                <w:szCs w:val="28"/>
                <w:highlight w:val="none"/>
                <w:lang w:val="zh-CN" w:eastAsia="zh-CN"/>
              </w:rPr>
              <w:t>一般得</w:t>
            </w: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zh-CN" w:eastAsia="zh-CN"/>
              </w:rPr>
              <w:t>内容与本项目无关或未提供</w:t>
            </w:r>
            <w:r>
              <w:rPr>
                <w:rFonts w:hint="default" w:ascii="方正仿宋_GBK" w:hAnsi="仿宋" w:eastAsia="仿宋" w:cs="仿宋"/>
                <w:color w:val="auto"/>
                <w:kern w:val="0"/>
                <w:szCs w:val="28"/>
                <w:highlight w:val="none"/>
                <w:lang w:val="zh-CN" w:eastAsia="zh-CN"/>
              </w:rPr>
              <w:t>得</w:t>
            </w:r>
            <w:r>
              <w:rPr>
                <w:rFonts w:hint="default" w:ascii="方正仿宋_GBK" w:hAnsi="仿宋" w:eastAsia="仿宋" w:cs="仿宋"/>
                <w:color w:val="auto"/>
                <w:kern w:val="0"/>
                <w:szCs w:val="28"/>
                <w:highlight w:val="none"/>
                <w:lang w:val="en-US" w:eastAsia="zh-CN"/>
              </w:rPr>
              <w:t>0分</w:t>
            </w:r>
          </w:p>
          <w:p>
            <w:pPr>
              <w:keepNext w:val="0"/>
              <w:keepLines w:val="0"/>
              <w:suppressLineNumbers w:val="0"/>
              <w:spacing w:before="0" w:beforeAutospacing="0" w:after="0" w:afterAutospacing="0" w:line="520" w:lineRule="exact"/>
              <w:ind w:left="0" w:right="0"/>
              <w:jc w:val="left"/>
              <w:rPr>
                <w:rFonts w:hint="default"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2、</w:t>
            </w:r>
            <w:r>
              <w:rPr>
                <w:rFonts w:hint="default" w:ascii="方正仿宋_GBK" w:hAnsi="仿宋" w:eastAsia="仿宋" w:cs="仿宋"/>
                <w:color w:val="auto"/>
                <w:kern w:val="0"/>
                <w:szCs w:val="28"/>
                <w:highlight w:val="none"/>
                <w:lang w:val="en-US" w:eastAsia="zh-CN"/>
              </w:rPr>
              <w:t>项目应急预案</w:t>
            </w:r>
            <w:r>
              <w:rPr>
                <w:rFonts w:hint="eastAsia" w:ascii="方正仿宋_GBK" w:hAnsi="仿宋" w:eastAsia="仿宋" w:cs="仿宋"/>
                <w:color w:val="auto"/>
                <w:kern w:val="0"/>
                <w:szCs w:val="28"/>
                <w:highlight w:val="none"/>
                <w:lang w:val="en-US" w:eastAsia="zh-CN"/>
              </w:rPr>
              <w:t>（5分）</w:t>
            </w:r>
            <w:r>
              <w:rPr>
                <w:rFonts w:hint="default" w:ascii="方正仿宋_GBK" w:hAnsi="仿宋" w:eastAsia="仿宋" w:cs="仿宋"/>
                <w:color w:val="auto"/>
                <w:kern w:val="0"/>
                <w:szCs w:val="28"/>
                <w:highlight w:val="none"/>
                <w:lang w:val="en-US" w:eastAsia="zh-CN"/>
              </w:rPr>
              <w:t>，包括不限于：数据上传、安全保障、常规程序</w:t>
            </w:r>
            <w:r>
              <w:rPr>
                <w:rFonts w:hint="eastAsia" w:ascii="方正仿宋_GBK" w:hAnsi="仿宋" w:eastAsia="仿宋" w:cs="仿宋"/>
                <w:color w:val="auto"/>
                <w:kern w:val="0"/>
                <w:szCs w:val="28"/>
                <w:highlight w:val="none"/>
                <w:lang w:val="en-US" w:eastAsia="zh-CN"/>
              </w:rPr>
              <w:t>等</w:t>
            </w:r>
            <w:r>
              <w:rPr>
                <w:rFonts w:hint="default" w:ascii="方正仿宋_GBK" w:hAnsi="仿宋" w:eastAsia="仿宋" w:cs="仿宋"/>
                <w:color w:val="auto"/>
                <w:kern w:val="0"/>
                <w:szCs w:val="28"/>
                <w:highlight w:val="none"/>
                <w:lang w:val="en-US" w:eastAsia="zh-CN"/>
              </w:rPr>
              <w:t>；</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方案内容完整，具有针对性和可行性，科学合理</w:t>
            </w:r>
            <w:r>
              <w:rPr>
                <w:rFonts w:hint="eastAsia" w:ascii="方正仿宋_GBK" w:hAnsi="仿宋" w:eastAsia="仿宋" w:cs="仿宋"/>
                <w:color w:val="auto"/>
                <w:kern w:val="0"/>
                <w:szCs w:val="28"/>
                <w:highlight w:val="none"/>
                <w:lang w:val="en-US" w:eastAsia="zh-CN"/>
              </w:rPr>
              <w:t>可行为</w:t>
            </w:r>
            <w:r>
              <w:rPr>
                <w:rFonts w:hint="default" w:ascii="方正仿宋_GBK" w:hAnsi="仿宋" w:eastAsia="仿宋" w:cs="仿宋"/>
                <w:color w:val="auto"/>
                <w:kern w:val="0"/>
                <w:szCs w:val="28"/>
                <w:highlight w:val="none"/>
                <w:lang w:val="zh-CN" w:eastAsia="zh-CN"/>
              </w:rPr>
              <w:t>优得</w:t>
            </w:r>
            <w:r>
              <w:rPr>
                <w:rFonts w:hint="default" w:ascii="方正仿宋_GBK" w:hAnsi="仿宋" w:eastAsia="仿宋" w:cs="仿宋"/>
                <w:color w:val="auto"/>
                <w:kern w:val="0"/>
                <w:szCs w:val="28"/>
                <w:highlight w:val="none"/>
                <w:lang w:val="en-US" w:eastAsia="zh-CN"/>
              </w:rPr>
              <w:t>4-5</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完整，有针对性</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可行，</w:t>
            </w:r>
            <w:r>
              <w:rPr>
                <w:rFonts w:hint="eastAsia" w:ascii="方正仿宋_GBK" w:hAnsi="仿宋" w:eastAsia="仿宋" w:cs="仿宋"/>
                <w:color w:val="auto"/>
                <w:kern w:val="0"/>
                <w:szCs w:val="28"/>
                <w:highlight w:val="none"/>
                <w:lang w:val="zh-CN" w:eastAsia="zh-CN"/>
              </w:rPr>
              <w:t>较</w:t>
            </w:r>
            <w:r>
              <w:rPr>
                <w:rFonts w:hint="default" w:ascii="方正仿宋_GBK" w:hAnsi="仿宋" w:eastAsia="仿宋" w:cs="仿宋"/>
                <w:color w:val="auto"/>
                <w:kern w:val="0"/>
                <w:szCs w:val="28"/>
                <w:highlight w:val="none"/>
                <w:lang w:val="zh-CN" w:eastAsia="zh-CN"/>
              </w:rPr>
              <w:t>科学合理</w:t>
            </w:r>
            <w:r>
              <w:rPr>
                <w:rFonts w:hint="eastAsia" w:ascii="方正仿宋_GBK" w:hAnsi="仿宋" w:eastAsia="仿宋" w:cs="仿宋"/>
                <w:color w:val="auto"/>
                <w:kern w:val="0"/>
                <w:szCs w:val="28"/>
                <w:highlight w:val="none"/>
                <w:lang w:val="en-US" w:eastAsia="zh-CN"/>
              </w:rPr>
              <w:t>为</w:t>
            </w:r>
            <w:r>
              <w:rPr>
                <w:rFonts w:hint="default" w:ascii="方正仿宋_GBK" w:hAnsi="仿宋" w:eastAsia="仿宋" w:cs="仿宋"/>
                <w:color w:val="auto"/>
                <w:kern w:val="0"/>
                <w:szCs w:val="28"/>
                <w:highlight w:val="none"/>
                <w:lang w:val="zh-CN" w:eastAsia="zh-CN"/>
              </w:rPr>
              <w:t>良得</w:t>
            </w:r>
            <w:r>
              <w:rPr>
                <w:rFonts w:hint="default" w:ascii="方正仿宋_GBK" w:hAnsi="仿宋" w:eastAsia="仿宋" w:cs="仿宋"/>
                <w:color w:val="auto"/>
                <w:kern w:val="0"/>
                <w:szCs w:val="28"/>
                <w:highlight w:val="none"/>
                <w:lang w:val="en-US" w:eastAsia="zh-CN"/>
              </w:rPr>
              <w:t>2-3</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较为不</w:t>
            </w:r>
            <w:r>
              <w:rPr>
                <w:rFonts w:hint="default" w:ascii="方正仿宋_GBK" w:hAnsi="仿宋" w:eastAsia="仿宋" w:cs="仿宋"/>
                <w:color w:val="auto"/>
                <w:kern w:val="0"/>
                <w:szCs w:val="28"/>
                <w:highlight w:val="none"/>
                <w:lang w:val="zh-CN" w:eastAsia="zh-CN"/>
              </w:rPr>
              <w:t>完整，</w:t>
            </w:r>
            <w:r>
              <w:rPr>
                <w:rFonts w:hint="eastAsia" w:ascii="方正仿宋_GBK" w:hAnsi="仿宋" w:eastAsia="仿宋" w:cs="仿宋"/>
                <w:color w:val="auto"/>
                <w:kern w:val="0"/>
                <w:szCs w:val="28"/>
                <w:highlight w:val="none"/>
                <w:lang w:val="zh-CN" w:eastAsia="zh-CN"/>
              </w:rPr>
              <w:t>不具</w:t>
            </w:r>
            <w:r>
              <w:rPr>
                <w:rFonts w:hint="default" w:ascii="方正仿宋_GBK" w:hAnsi="仿宋" w:eastAsia="仿宋" w:cs="仿宋"/>
                <w:color w:val="auto"/>
                <w:kern w:val="0"/>
                <w:szCs w:val="28"/>
                <w:highlight w:val="none"/>
                <w:lang w:val="zh-CN" w:eastAsia="zh-CN"/>
              </w:rPr>
              <w:t>有针对性和可行性，</w:t>
            </w:r>
            <w:r>
              <w:rPr>
                <w:rFonts w:hint="eastAsia" w:ascii="方正仿宋_GBK" w:hAnsi="仿宋" w:eastAsia="仿宋" w:cs="仿宋"/>
                <w:color w:val="auto"/>
                <w:kern w:val="0"/>
                <w:szCs w:val="28"/>
                <w:highlight w:val="none"/>
                <w:lang w:val="zh-CN" w:eastAsia="zh-CN"/>
              </w:rPr>
              <w:t>不</w:t>
            </w:r>
            <w:r>
              <w:rPr>
                <w:rFonts w:hint="default" w:ascii="方正仿宋_GBK" w:hAnsi="仿宋" w:eastAsia="仿宋" w:cs="仿宋"/>
                <w:color w:val="auto"/>
                <w:kern w:val="0"/>
                <w:szCs w:val="28"/>
                <w:highlight w:val="none"/>
                <w:lang w:val="zh-CN" w:eastAsia="zh-CN"/>
              </w:rPr>
              <w:t>科学合理</w:t>
            </w:r>
            <w:r>
              <w:rPr>
                <w:rFonts w:hint="eastAsia" w:ascii="方正仿宋_GBK" w:hAnsi="仿宋" w:eastAsia="仿宋" w:cs="仿宋"/>
                <w:color w:val="auto"/>
                <w:kern w:val="0"/>
                <w:szCs w:val="28"/>
                <w:highlight w:val="none"/>
                <w:lang w:val="en-US" w:eastAsia="zh-CN"/>
              </w:rPr>
              <w:t>可行</w:t>
            </w:r>
            <w:r>
              <w:rPr>
                <w:rFonts w:hint="default" w:ascii="方正仿宋_GBK" w:hAnsi="仿宋" w:eastAsia="仿宋" w:cs="仿宋"/>
                <w:color w:val="auto"/>
                <w:kern w:val="0"/>
                <w:szCs w:val="28"/>
                <w:highlight w:val="none"/>
                <w:lang w:val="zh-CN" w:eastAsia="zh-CN"/>
              </w:rPr>
              <w:t>一般得</w:t>
            </w: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zh-CN" w:eastAsia="zh-CN"/>
              </w:rPr>
              <w:t>内容与本项目无关或未提供</w:t>
            </w:r>
            <w:r>
              <w:rPr>
                <w:rFonts w:hint="default" w:ascii="方正仿宋_GBK" w:hAnsi="仿宋" w:eastAsia="仿宋" w:cs="仿宋"/>
                <w:color w:val="auto"/>
                <w:kern w:val="0"/>
                <w:szCs w:val="28"/>
                <w:highlight w:val="none"/>
                <w:lang w:val="zh-CN" w:eastAsia="zh-CN"/>
              </w:rPr>
              <w:t>得</w:t>
            </w:r>
            <w:r>
              <w:rPr>
                <w:rFonts w:hint="default" w:ascii="方正仿宋_GBK" w:hAnsi="仿宋" w:eastAsia="仿宋" w:cs="仿宋"/>
                <w:color w:val="auto"/>
                <w:kern w:val="0"/>
                <w:szCs w:val="28"/>
                <w:highlight w:val="none"/>
                <w:lang w:val="en-US" w:eastAsia="zh-CN"/>
              </w:rPr>
              <w:t>0分</w:t>
            </w:r>
          </w:p>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3、</w:t>
            </w:r>
            <w:r>
              <w:rPr>
                <w:rFonts w:hint="default" w:ascii="方正仿宋_GBK" w:hAnsi="仿宋" w:eastAsia="仿宋" w:cs="仿宋"/>
                <w:color w:val="auto"/>
                <w:kern w:val="0"/>
                <w:szCs w:val="28"/>
                <w:highlight w:val="none"/>
                <w:lang w:val="zh-CN" w:eastAsia="zh-CN"/>
              </w:rPr>
              <w:t>售后服务方案</w:t>
            </w:r>
            <w:r>
              <w:rPr>
                <w:rFonts w:hint="eastAsia" w:ascii="方正仿宋_GBK" w:hAnsi="仿宋" w:eastAsia="仿宋" w:cs="仿宋"/>
                <w:color w:val="auto"/>
                <w:kern w:val="0"/>
                <w:szCs w:val="28"/>
                <w:highlight w:val="none"/>
                <w:lang w:val="zh-CN" w:eastAsia="zh-CN"/>
              </w:rPr>
              <w:t>（</w:t>
            </w:r>
            <w:r>
              <w:rPr>
                <w:rFonts w:hint="eastAsia" w:ascii="方正仿宋_GBK" w:hAnsi="仿宋" w:eastAsia="仿宋" w:cs="仿宋"/>
                <w:color w:val="auto"/>
                <w:kern w:val="0"/>
                <w:szCs w:val="28"/>
                <w:highlight w:val="none"/>
                <w:lang w:val="en-US" w:eastAsia="zh-CN"/>
              </w:rPr>
              <w:t>5分）</w:t>
            </w:r>
            <w:r>
              <w:rPr>
                <w:rFonts w:hint="default" w:ascii="方正仿宋_GBK" w:hAnsi="仿宋" w:eastAsia="仿宋" w:cs="仿宋"/>
                <w:color w:val="auto"/>
                <w:kern w:val="0"/>
                <w:szCs w:val="28"/>
                <w:highlight w:val="none"/>
                <w:lang w:val="zh-CN" w:eastAsia="zh-CN"/>
              </w:rPr>
              <w:t>，</w:t>
            </w:r>
            <w:r>
              <w:rPr>
                <w:rFonts w:hint="default" w:ascii="方正仿宋_GBK" w:hAnsi="仿宋" w:eastAsia="仿宋" w:cs="仿宋"/>
                <w:color w:val="auto"/>
                <w:kern w:val="0"/>
                <w:szCs w:val="28"/>
                <w:highlight w:val="none"/>
                <w:lang w:val="en-US" w:eastAsia="zh-CN"/>
              </w:rPr>
              <w:t>包括不限于：服务质量、售后</w:t>
            </w:r>
            <w:r>
              <w:rPr>
                <w:rFonts w:hint="eastAsia" w:ascii="方正仿宋_GBK" w:hAnsi="仿宋" w:eastAsia="仿宋" w:cs="仿宋"/>
                <w:color w:val="auto"/>
                <w:kern w:val="0"/>
                <w:szCs w:val="28"/>
                <w:highlight w:val="none"/>
                <w:lang w:val="en-US" w:eastAsia="zh-CN"/>
              </w:rPr>
              <w:t>承诺等：</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方案内容完整，具有针对性和可行性，科学合理</w:t>
            </w:r>
            <w:r>
              <w:rPr>
                <w:rFonts w:hint="eastAsia" w:ascii="方正仿宋_GBK" w:hAnsi="仿宋" w:eastAsia="仿宋" w:cs="仿宋"/>
                <w:color w:val="auto"/>
                <w:kern w:val="0"/>
                <w:szCs w:val="28"/>
                <w:highlight w:val="none"/>
                <w:lang w:val="en-US" w:eastAsia="zh-CN"/>
              </w:rPr>
              <w:t>可行为</w:t>
            </w:r>
            <w:r>
              <w:rPr>
                <w:rFonts w:hint="default" w:ascii="方正仿宋_GBK" w:hAnsi="仿宋" w:eastAsia="仿宋" w:cs="仿宋"/>
                <w:color w:val="auto"/>
                <w:kern w:val="0"/>
                <w:szCs w:val="28"/>
                <w:highlight w:val="none"/>
                <w:lang w:val="zh-CN" w:eastAsia="zh-CN"/>
              </w:rPr>
              <w:t>优得</w:t>
            </w:r>
            <w:r>
              <w:rPr>
                <w:rFonts w:hint="default" w:ascii="方正仿宋_GBK" w:hAnsi="仿宋" w:eastAsia="仿宋" w:cs="仿宋"/>
                <w:color w:val="auto"/>
                <w:kern w:val="0"/>
                <w:szCs w:val="28"/>
                <w:highlight w:val="none"/>
                <w:lang w:val="en-US" w:eastAsia="zh-CN"/>
              </w:rPr>
              <w:t>4-5</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完整，有针对性</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可行，</w:t>
            </w:r>
            <w:r>
              <w:rPr>
                <w:rFonts w:hint="eastAsia" w:ascii="方正仿宋_GBK" w:hAnsi="仿宋" w:eastAsia="仿宋" w:cs="仿宋"/>
                <w:color w:val="auto"/>
                <w:kern w:val="0"/>
                <w:szCs w:val="28"/>
                <w:highlight w:val="none"/>
                <w:lang w:val="zh-CN" w:eastAsia="zh-CN"/>
              </w:rPr>
              <w:t>较</w:t>
            </w:r>
            <w:r>
              <w:rPr>
                <w:rFonts w:hint="default" w:ascii="方正仿宋_GBK" w:hAnsi="仿宋" w:eastAsia="仿宋" w:cs="仿宋"/>
                <w:color w:val="auto"/>
                <w:kern w:val="0"/>
                <w:szCs w:val="28"/>
                <w:highlight w:val="none"/>
                <w:lang w:val="zh-CN" w:eastAsia="zh-CN"/>
              </w:rPr>
              <w:t>科学合理</w:t>
            </w:r>
            <w:r>
              <w:rPr>
                <w:rFonts w:hint="eastAsia" w:ascii="方正仿宋_GBK" w:hAnsi="仿宋" w:eastAsia="仿宋" w:cs="仿宋"/>
                <w:color w:val="auto"/>
                <w:kern w:val="0"/>
                <w:szCs w:val="28"/>
                <w:highlight w:val="none"/>
                <w:lang w:val="en-US" w:eastAsia="zh-CN"/>
              </w:rPr>
              <w:t>为</w:t>
            </w:r>
            <w:r>
              <w:rPr>
                <w:rFonts w:hint="default" w:ascii="方正仿宋_GBK" w:hAnsi="仿宋" w:eastAsia="仿宋" w:cs="仿宋"/>
                <w:color w:val="auto"/>
                <w:kern w:val="0"/>
                <w:szCs w:val="28"/>
                <w:highlight w:val="none"/>
                <w:lang w:val="zh-CN" w:eastAsia="zh-CN"/>
              </w:rPr>
              <w:t>良得</w:t>
            </w:r>
            <w:r>
              <w:rPr>
                <w:rFonts w:hint="default" w:ascii="方正仿宋_GBK" w:hAnsi="仿宋" w:eastAsia="仿宋" w:cs="仿宋"/>
                <w:color w:val="auto"/>
                <w:kern w:val="0"/>
                <w:szCs w:val="28"/>
                <w:highlight w:val="none"/>
                <w:lang w:val="en-US" w:eastAsia="zh-CN"/>
              </w:rPr>
              <w:t>2-3</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较为不</w:t>
            </w:r>
            <w:r>
              <w:rPr>
                <w:rFonts w:hint="default" w:ascii="方正仿宋_GBK" w:hAnsi="仿宋" w:eastAsia="仿宋" w:cs="仿宋"/>
                <w:color w:val="auto"/>
                <w:kern w:val="0"/>
                <w:szCs w:val="28"/>
                <w:highlight w:val="none"/>
                <w:lang w:val="zh-CN" w:eastAsia="zh-CN"/>
              </w:rPr>
              <w:t>完整，</w:t>
            </w:r>
            <w:r>
              <w:rPr>
                <w:rFonts w:hint="eastAsia" w:ascii="方正仿宋_GBK" w:hAnsi="仿宋" w:eastAsia="仿宋" w:cs="仿宋"/>
                <w:color w:val="auto"/>
                <w:kern w:val="0"/>
                <w:szCs w:val="28"/>
                <w:highlight w:val="none"/>
                <w:lang w:val="zh-CN" w:eastAsia="zh-CN"/>
              </w:rPr>
              <w:t>不具</w:t>
            </w:r>
            <w:r>
              <w:rPr>
                <w:rFonts w:hint="default" w:ascii="方正仿宋_GBK" w:hAnsi="仿宋" w:eastAsia="仿宋" w:cs="仿宋"/>
                <w:color w:val="auto"/>
                <w:kern w:val="0"/>
                <w:szCs w:val="28"/>
                <w:highlight w:val="none"/>
                <w:lang w:val="zh-CN" w:eastAsia="zh-CN"/>
              </w:rPr>
              <w:t>有针对性和可行性，</w:t>
            </w:r>
            <w:r>
              <w:rPr>
                <w:rFonts w:hint="eastAsia" w:ascii="方正仿宋_GBK" w:hAnsi="仿宋" w:eastAsia="仿宋" w:cs="仿宋"/>
                <w:color w:val="auto"/>
                <w:kern w:val="0"/>
                <w:szCs w:val="28"/>
                <w:highlight w:val="none"/>
                <w:lang w:val="zh-CN" w:eastAsia="zh-CN"/>
              </w:rPr>
              <w:t>不</w:t>
            </w:r>
            <w:r>
              <w:rPr>
                <w:rFonts w:hint="default" w:ascii="方正仿宋_GBK" w:hAnsi="仿宋" w:eastAsia="仿宋" w:cs="仿宋"/>
                <w:color w:val="auto"/>
                <w:kern w:val="0"/>
                <w:szCs w:val="28"/>
                <w:highlight w:val="none"/>
                <w:lang w:val="zh-CN" w:eastAsia="zh-CN"/>
              </w:rPr>
              <w:t>科学合理</w:t>
            </w:r>
            <w:r>
              <w:rPr>
                <w:rFonts w:hint="eastAsia" w:ascii="方正仿宋_GBK" w:hAnsi="仿宋" w:eastAsia="仿宋" w:cs="仿宋"/>
                <w:color w:val="auto"/>
                <w:kern w:val="0"/>
                <w:szCs w:val="28"/>
                <w:highlight w:val="none"/>
                <w:lang w:val="en-US" w:eastAsia="zh-CN"/>
              </w:rPr>
              <w:t>可行</w:t>
            </w:r>
            <w:r>
              <w:rPr>
                <w:rFonts w:hint="default" w:ascii="方正仿宋_GBK" w:hAnsi="仿宋" w:eastAsia="仿宋" w:cs="仿宋"/>
                <w:color w:val="auto"/>
                <w:kern w:val="0"/>
                <w:szCs w:val="28"/>
                <w:highlight w:val="none"/>
                <w:lang w:val="zh-CN" w:eastAsia="zh-CN"/>
              </w:rPr>
              <w:t>一般得</w:t>
            </w: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eastAsia" w:ascii="方正仿宋_GBK" w:hAnsi="仿宋" w:eastAsia="仿宋" w:cs="仿宋"/>
                <w:color w:val="auto"/>
                <w:kern w:val="0"/>
                <w:szCs w:val="28"/>
                <w:highlight w:val="none"/>
                <w:lang w:val="zh-CN" w:eastAsia="zh-CN"/>
              </w:rPr>
              <w:t>内容与本项目无关或未提供</w:t>
            </w:r>
            <w:r>
              <w:rPr>
                <w:rFonts w:hint="default" w:ascii="方正仿宋_GBK" w:hAnsi="仿宋" w:eastAsia="仿宋" w:cs="仿宋"/>
                <w:color w:val="auto"/>
                <w:kern w:val="0"/>
                <w:szCs w:val="28"/>
                <w:highlight w:val="none"/>
                <w:lang w:val="zh-CN" w:eastAsia="zh-CN"/>
              </w:rPr>
              <w:t>得</w:t>
            </w:r>
            <w:r>
              <w:rPr>
                <w:rFonts w:hint="default" w:ascii="方正仿宋_GBK" w:hAnsi="仿宋" w:eastAsia="仿宋" w:cs="仿宋"/>
                <w:color w:val="auto"/>
                <w:kern w:val="0"/>
                <w:szCs w:val="28"/>
                <w:highlight w:val="none"/>
                <w:lang w:val="en-US" w:eastAsia="zh-CN"/>
              </w:rPr>
              <w:t>0分</w:t>
            </w:r>
          </w:p>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en-US" w:eastAsia="zh-CN"/>
              </w:rPr>
              <w:t>4、</w:t>
            </w:r>
            <w:r>
              <w:rPr>
                <w:rFonts w:hint="default" w:ascii="方正仿宋_GBK" w:hAnsi="仿宋" w:eastAsia="仿宋" w:cs="仿宋"/>
                <w:color w:val="auto"/>
                <w:kern w:val="0"/>
                <w:szCs w:val="28"/>
                <w:highlight w:val="none"/>
                <w:lang w:val="en-US" w:eastAsia="zh-CN"/>
              </w:rPr>
              <w:t>培训方案</w:t>
            </w:r>
            <w:r>
              <w:rPr>
                <w:rFonts w:hint="eastAsia" w:ascii="方正仿宋_GBK" w:hAnsi="仿宋" w:eastAsia="仿宋" w:cs="仿宋"/>
                <w:color w:val="auto"/>
                <w:kern w:val="0"/>
                <w:szCs w:val="28"/>
                <w:highlight w:val="none"/>
                <w:lang w:val="en-US" w:eastAsia="zh-CN"/>
              </w:rPr>
              <w:t>（5分）：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方案内容完整，具有针对性和可行性，科学合理</w:t>
            </w:r>
            <w:r>
              <w:rPr>
                <w:rFonts w:hint="eastAsia" w:ascii="方正仿宋_GBK" w:hAnsi="仿宋" w:eastAsia="仿宋" w:cs="仿宋"/>
                <w:color w:val="auto"/>
                <w:kern w:val="0"/>
                <w:szCs w:val="28"/>
                <w:highlight w:val="none"/>
                <w:lang w:val="en-US" w:eastAsia="zh-CN"/>
              </w:rPr>
              <w:t>为</w:t>
            </w:r>
            <w:r>
              <w:rPr>
                <w:rFonts w:hint="default" w:ascii="方正仿宋_GBK" w:hAnsi="仿宋" w:eastAsia="仿宋" w:cs="仿宋"/>
                <w:color w:val="auto"/>
                <w:kern w:val="0"/>
                <w:szCs w:val="28"/>
                <w:highlight w:val="none"/>
                <w:lang w:val="zh-CN" w:eastAsia="zh-CN"/>
              </w:rPr>
              <w:t>优得</w:t>
            </w:r>
            <w:r>
              <w:rPr>
                <w:rFonts w:hint="default" w:ascii="方正仿宋_GBK" w:hAnsi="仿宋" w:eastAsia="仿宋" w:cs="仿宋"/>
                <w:color w:val="auto"/>
                <w:kern w:val="0"/>
                <w:szCs w:val="28"/>
                <w:highlight w:val="none"/>
                <w:lang w:val="en-US" w:eastAsia="zh-CN"/>
              </w:rPr>
              <w:t>4-5</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完整，有针对性</w:t>
            </w:r>
            <w:r>
              <w:rPr>
                <w:rFonts w:hint="eastAsia" w:ascii="方正仿宋_GBK" w:hAnsi="仿宋" w:eastAsia="仿宋" w:cs="仿宋"/>
                <w:color w:val="auto"/>
                <w:kern w:val="0"/>
                <w:szCs w:val="28"/>
                <w:highlight w:val="none"/>
                <w:lang w:val="zh-CN" w:eastAsia="zh-CN"/>
              </w:rPr>
              <w:t>、较为</w:t>
            </w:r>
            <w:r>
              <w:rPr>
                <w:rFonts w:hint="default" w:ascii="方正仿宋_GBK" w:hAnsi="仿宋" w:eastAsia="仿宋" w:cs="仿宋"/>
                <w:color w:val="auto"/>
                <w:kern w:val="0"/>
                <w:szCs w:val="28"/>
                <w:highlight w:val="none"/>
                <w:lang w:val="zh-CN" w:eastAsia="zh-CN"/>
              </w:rPr>
              <w:t>可行，</w:t>
            </w:r>
            <w:r>
              <w:rPr>
                <w:rFonts w:hint="eastAsia" w:ascii="方正仿宋_GBK" w:hAnsi="仿宋" w:eastAsia="仿宋" w:cs="仿宋"/>
                <w:color w:val="auto"/>
                <w:kern w:val="0"/>
                <w:szCs w:val="28"/>
                <w:highlight w:val="none"/>
                <w:lang w:val="zh-CN" w:eastAsia="zh-CN"/>
              </w:rPr>
              <w:t>较</w:t>
            </w:r>
            <w:r>
              <w:rPr>
                <w:rFonts w:hint="default" w:ascii="方正仿宋_GBK" w:hAnsi="仿宋" w:eastAsia="仿宋" w:cs="仿宋"/>
                <w:color w:val="auto"/>
                <w:kern w:val="0"/>
                <w:szCs w:val="28"/>
                <w:highlight w:val="none"/>
                <w:lang w:val="zh-CN" w:eastAsia="zh-CN"/>
              </w:rPr>
              <w:t>科学合理</w:t>
            </w:r>
            <w:r>
              <w:rPr>
                <w:rFonts w:hint="eastAsia" w:ascii="方正仿宋_GBK" w:hAnsi="仿宋" w:eastAsia="仿宋" w:cs="仿宋"/>
                <w:color w:val="auto"/>
                <w:kern w:val="0"/>
                <w:szCs w:val="28"/>
                <w:highlight w:val="none"/>
                <w:lang w:val="en-US" w:eastAsia="zh-CN"/>
              </w:rPr>
              <w:t>为</w:t>
            </w:r>
            <w:r>
              <w:rPr>
                <w:rFonts w:hint="default" w:ascii="方正仿宋_GBK" w:hAnsi="仿宋" w:eastAsia="仿宋" w:cs="仿宋"/>
                <w:color w:val="auto"/>
                <w:kern w:val="0"/>
                <w:szCs w:val="28"/>
                <w:highlight w:val="none"/>
                <w:lang w:val="zh-CN" w:eastAsia="zh-CN"/>
              </w:rPr>
              <w:t>良得</w:t>
            </w:r>
            <w:r>
              <w:rPr>
                <w:rFonts w:hint="default" w:ascii="方正仿宋_GBK" w:hAnsi="仿宋" w:eastAsia="仿宋" w:cs="仿宋"/>
                <w:color w:val="auto"/>
                <w:kern w:val="0"/>
                <w:szCs w:val="28"/>
                <w:highlight w:val="none"/>
                <w:lang w:val="en-US" w:eastAsia="zh-CN"/>
              </w:rPr>
              <w:t>2-3</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default" w:ascii="方正仿宋_GBK" w:hAnsi="仿宋" w:eastAsia="仿宋" w:cs="仿宋"/>
                <w:color w:val="auto"/>
                <w:kern w:val="0"/>
                <w:szCs w:val="28"/>
                <w:highlight w:val="none"/>
                <w:lang w:val="zh-CN" w:eastAsia="zh-CN"/>
              </w:rPr>
            </w:pPr>
            <w:r>
              <w:rPr>
                <w:rFonts w:hint="default" w:ascii="方正仿宋_GBK" w:hAnsi="仿宋" w:eastAsia="仿宋" w:cs="仿宋"/>
                <w:color w:val="auto"/>
                <w:kern w:val="0"/>
                <w:szCs w:val="28"/>
                <w:highlight w:val="none"/>
                <w:lang w:val="zh-CN" w:eastAsia="zh-CN"/>
              </w:rPr>
              <w:t>方案内容</w:t>
            </w:r>
            <w:r>
              <w:rPr>
                <w:rFonts w:hint="eastAsia" w:ascii="方正仿宋_GBK" w:hAnsi="仿宋" w:eastAsia="仿宋" w:cs="仿宋"/>
                <w:color w:val="auto"/>
                <w:kern w:val="0"/>
                <w:szCs w:val="28"/>
                <w:highlight w:val="none"/>
                <w:lang w:val="zh-CN" w:eastAsia="zh-CN"/>
              </w:rPr>
              <w:t>较为不</w:t>
            </w:r>
            <w:r>
              <w:rPr>
                <w:rFonts w:hint="default" w:ascii="方正仿宋_GBK" w:hAnsi="仿宋" w:eastAsia="仿宋" w:cs="仿宋"/>
                <w:color w:val="auto"/>
                <w:kern w:val="0"/>
                <w:szCs w:val="28"/>
                <w:highlight w:val="none"/>
                <w:lang w:val="zh-CN" w:eastAsia="zh-CN"/>
              </w:rPr>
              <w:t>完整，</w:t>
            </w:r>
            <w:r>
              <w:rPr>
                <w:rFonts w:hint="eastAsia" w:ascii="方正仿宋_GBK" w:hAnsi="仿宋" w:eastAsia="仿宋" w:cs="仿宋"/>
                <w:color w:val="auto"/>
                <w:kern w:val="0"/>
                <w:szCs w:val="28"/>
                <w:highlight w:val="none"/>
                <w:lang w:val="zh-CN" w:eastAsia="zh-CN"/>
              </w:rPr>
              <w:t>不具</w:t>
            </w:r>
            <w:r>
              <w:rPr>
                <w:rFonts w:hint="default" w:ascii="方正仿宋_GBK" w:hAnsi="仿宋" w:eastAsia="仿宋" w:cs="仿宋"/>
                <w:color w:val="auto"/>
                <w:kern w:val="0"/>
                <w:szCs w:val="28"/>
                <w:highlight w:val="none"/>
                <w:lang w:val="zh-CN" w:eastAsia="zh-CN"/>
              </w:rPr>
              <w:t>有针对性和可行性，</w:t>
            </w:r>
            <w:r>
              <w:rPr>
                <w:rFonts w:hint="eastAsia" w:ascii="方正仿宋_GBK" w:hAnsi="仿宋" w:eastAsia="仿宋" w:cs="仿宋"/>
                <w:color w:val="auto"/>
                <w:kern w:val="0"/>
                <w:szCs w:val="28"/>
                <w:highlight w:val="none"/>
                <w:lang w:val="zh-CN" w:eastAsia="zh-CN"/>
              </w:rPr>
              <w:t>不</w:t>
            </w:r>
            <w:r>
              <w:rPr>
                <w:rFonts w:hint="default" w:ascii="方正仿宋_GBK" w:hAnsi="仿宋" w:eastAsia="仿宋" w:cs="仿宋"/>
                <w:color w:val="auto"/>
                <w:kern w:val="0"/>
                <w:szCs w:val="28"/>
                <w:highlight w:val="none"/>
                <w:lang w:val="zh-CN" w:eastAsia="zh-CN"/>
              </w:rPr>
              <w:t>科学合理一般得</w:t>
            </w:r>
            <w:r>
              <w:rPr>
                <w:rFonts w:hint="default" w:ascii="方正仿宋_GBK" w:hAnsi="仿宋" w:eastAsia="仿宋" w:cs="仿宋"/>
                <w:color w:val="auto"/>
                <w:kern w:val="0"/>
                <w:szCs w:val="28"/>
                <w:highlight w:val="none"/>
                <w:lang w:val="en-US" w:eastAsia="zh-CN"/>
              </w:rPr>
              <w:t>1</w:t>
            </w:r>
            <w:r>
              <w:rPr>
                <w:rFonts w:hint="default" w:ascii="方正仿宋_GBK" w:hAnsi="仿宋" w:eastAsia="仿宋" w:cs="仿宋"/>
                <w:color w:val="auto"/>
                <w:kern w:val="0"/>
                <w:szCs w:val="28"/>
                <w:highlight w:val="none"/>
                <w:lang w:val="zh-CN" w:eastAsia="zh-CN"/>
              </w:rPr>
              <w:t>分；</w:t>
            </w:r>
          </w:p>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lang w:val="en-US" w:eastAsia="zh-CN"/>
              </w:rPr>
            </w:pPr>
            <w:r>
              <w:rPr>
                <w:rFonts w:hint="eastAsia" w:ascii="方正仿宋_GBK" w:hAnsi="仿宋" w:eastAsia="仿宋" w:cs="仿宋"/>
                <w:color w:val="auto"/>
                <w:kern w:val="0"/>
                <w:szCs w:val="28"/>
                <w:highlight w:val="none"/>
                <w:lang w:val="zh-CN" w:eastAsia="zh-CN"/>
              </w:rPr>
              <w:t>内容与本项目无关或未提供</w:t>
            </w:r>
            <w:r>
              <w:rPr>
                <w:rFonts w:hint="default" w:ascii="方正仿宋_GBK" w:hAnsi="仿宋" w:eastAsia="仿宋" w:cs="仿宋"/>
                <w:color w:val="auto"/>
                <w:kern w:val="0"/>
                <w:szCs w:val="28"/>
                <w:highlight w:val="none"/>
                <w:lang w:val="zh-CN" w:eastAsia="zh-CN"/>
              </w:rPr>
              <w:t>得</w:t>
            </w:r>
            <w:r>
              <w:rPr>
                <w:rFonts w:hint="default" w:ascii="方正仿宋_GBK" w:hAnsi="仿宋" w:eastAsia="仿宋" w:cs="仿宋"/>
                <w:color w:val="auto"/>
                <w:kern w:val="0"/>
                <w:szCs w:val="28"/>
                <w:highlight w:val="none"/>
                <w:lang w:val="en-US" w:eastAsia="zh-CN"/>
              </w:rPr>
              <w:t>0分</w:t>
            </w:r>
          </w:p>
        </w:tc>
        <w:tc>
          <w:tcPr>
            <w:tcW w:w="1819"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lang w:val="zh-CN" w:eastAsia="zh-CN"/>
              </w:rPr>
              <w:t>格式自拟，加盖投标人公章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1316" w:type="dxa"/>
            <w:vMerge w:val="continue"/>
            <w:noWrap w:val="0"/>
            <w:vAlign w:val="center"/>
          </w:tcPr>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p>
        </w:tc>
        <w:tc>
          <w:tcPr>
            <w:tcW w:w="1123" w:type="dxa"/>
            <w:vMerge w:val="continue"/>
            <w:noWrap w:val="0"/>
            <w:vAlign w:val="center"/>
          </w:tcPr>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p>
        </w:tc>
        <w:tc>
          <w:tcPr>
            <w:tcW w:w="5050"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en-US" w:eastAsia="zh-CN"/>
              </w:rPr>
              <w:t>5、</w:t>
            </w:r>
            <w:r>
              <w:rPr>
                <w:rFonts w:hint="eastAsia" w:ascii="方正仿宋_GBK" w:hAnsi="仿宋" w:eastAsia="仿宋" w:cs="仿宋"/>
                <w:color w:val="auto"/>
                <w:kern w:val="0"/>
                <w:szCs w:val="28"/>
                <w:highlight w:val="none"/>
              </w:rPr>
              <w:t>现场演示及展示（</w:t>
            </w:r>
            <w:r>
              <w:rPr>
                <w:rFonts w:hint="eastAsia" w:ascii="方正仿宋_GBK" w:hAnsi="仿宋" w:eastAsia="仿宋" w:cs="仿宋"/>
                <w:color w:val="auto"/>
                <w:kern w:val="0"/>
                <w:szCs w:val="28"/>
                <w:highlight w:val="none"/>
                <w:lang w:val="en-US" w:eastAsia="zh-CN"/>
              </w:rPr>
              <w:t>20</w:t>
            </w:r>
            <w:r>
              <w:rPr>
                <w:rFonts w:hint="eastAsia" w:ascii="方正仿宋_GBK" w:hAnsi="仿宋" w:eastAsia="仿宋" w:cs="仿宋"/>
                <w:color w:val="auto"/>
                <w:kern w:val="0"/>
                <w:szCs w:val="28"/>
                <w:highlight w:val="none"/>
              </w:rPr>
              <w:t>分）</w:t>
            </w:r>
          </w:p>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en-US" w:eastAsia="zh-CN"/>
              </w:rPr>
              <w:t>供应商</w:t>
            </w:r>
            <w:r>
              <w:rPr>
                <w:rFonts w:hint="eastAsia" w:ascii="方正仿宋_GBK" w:hAnsi="仿宋" w:eastAsia="仿宋" w:cs="仿宋"/>
                <w:color w:val="auto"/>
                <w:kern w:val="0"/>
                <w:szCs w:val="28"/>
                <w:highlight w:val="none"/>
              </w:rPr>
              <w:t>能根据采购需求将下列重点功能进行演示，自行准备演示所需设备，需详细演示每个工作站现场操作情况及相关设备展示演示内容：</w:t>
            </w:r>
          </w:p>
          <w:p>
            <w:pPr>
              <w:keepNext w:val="0"/>
              <w:keepLines w:val="0"/>
              <w:suppressLineNumbers w:val="0"/>
              <w:spacing w:before="0" w:beforeAutospacing="0" w:after="0" w:afterAutospacing="0" w:line="520" w:lineRule="exact"/>
              <w:ind w:left="438" w:leftChars="200" w:right="0" w:firstLine="0" w:firstLineChars="0"/>
              <w:jc w:val="both"/>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1、历史数据加载：问诊、身高加载历史数据。2、服务对象可分别通过手机APP 、微信公众号对“老年人体检报告”内容在线查看。</w:t>
            </w:r>
          </w:p>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3、现场刷身份证识别全市档案，及有没有全市其他区本年度是否体检过。</w:t>
            </w:r>
          </w:p>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4、演示体检报告、体检表结论评价指导如何完成的。演示数据如何上传系统。</w:t>
            </w:r>
          </w:p>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5、数据报表分类统计，如：控制不满意随访、非本机构上传统计、异常转诊统计等。公卫体检表自动备注在什么地点参加体检，并附上日期电话。</w:t>
            </w:r>
          </w:p>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rPr>
              <w:t>以上演示项评分规则如下：本项评分采用倒扣分制，每存在一项功能缺失扣</w:t>
            </w:r>
            <w:r>
              <w:rPr>
                <w:rFonts w:hint="eastAsia" w:ascii="方正仿宋_GBK" w:hAnsi="仿宋" w:eastAsia="仿宋" w:cs="仿宋"/>
                <w:color w:val="auto"/>
                <w:kern w:val="0"/>
                <w:szCs w:val="28"/>
                <w:highlight w:val="none"/>
                <w:lang w:val="en-US" w:eastAsia="zh-CN"/>
              </w:rPr>
              <w:t>4</w:t>
            </w:r>
            <w:r>
              <w:rPr>
                <w:rFonts w:hint="eastAsia" w:ascii="方正仿宋_GBK" w:hAnsi="仿宋" w:eastAsia="仿宋" w:cs="仿宋"/>
                <w:color w:val="auto"/>
                <w:kern w:val="0"/>
                <w:szCs w:val="28"/>
                <w:highlight w:val="none"/>
              </w:rPr>
              <w:t>分。不提供不得分</w:t>
            </w:r>
            <w:r>
              <w:rPr>
                <w:rFonts w:hint="eastAsia" w:ascii="方正仿宋_GBK" w:hAnsi="仿宋" w:eastAsia="仿宋" w:cs="仿宋"/>
                <w:color w:val="auto"/>
                <w:kern w:val="0"/>
                <w:szCs w:val="28"/>
                <w:highlight w:val="none"/>
                <w:lang w:eastAsia="zh-CN"/>
              </w:rPr>
              <w:t>。</w:t>
            </w:r>
          </w:p>
        </w:tc>
        <w:tc>
          <w:tcPr>
            <w:tcW w:w="1819" w:type="dxa"/>
            <w:noWrap w:val="0"/>
            <w:vAlign w:val="center"/>
          </w:tcPr>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316" w:type="dxa"/>
            <w:vMerge w:val="restart"/>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商务部分（</w:t>
            </w:r>
            <w:r>
              <w:rPr>
                <w:rFonts w:hint="eastAsia" w:ascii="方正仿宋_GBK" w:hAnsi="仿宋" w:eastAsia="仿宋" w:cs="仿宋"/>
                <w:color w:val="auto"/>
                <w:kern w:val="0"/>
                <w:szCs w:val="28"/>
                <w:highlight w:val="none"/>
                <w:lang w:val="en-US" w:eastAsia="zh-CN"/>
              </w:rPr>
              <w:t>3</w:t>
            </w:r>
            <w:r>
              <w:rPr>
                <w:rFonts w:hint="eastAsia" w:ascii="方正仿宋_GBK" w:hAnsi="仿宋" w:eastAsia="仿宋" w:cs="仿宋"/>
                <w:color w:val="auto"/>
                <w:kern w:val="0"/>
                <w:szCs w:val="28"/>
                <w:highlight w:val="none"/>
              </w:rPr>
              <w:t>0%）</w:t>
            </w:r>
          </w:p>
        </w:tc>
        <w:tc>
          <w:tcPr>
            <w:tcW w:w="1123"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业绩</w:t>
            </w:r>
          </w:p>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（6分）</w:t>
            </w:r>
          </w:p>
        </w:tc>
        <w:tc>
          <w:tcPr>
            <w:tcW w:w="5050"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rPr>
              <w:t>20</w:t>
            </w:r>
            <w:r>
              <w:rPr>
                <w:rFonts w:hint="eastAsia" w:ascii="方正仿宋_GBK" w:hAnsi="仿宋" w:eastAsia="仿宋" w:cs="仿宋"/>
                <w:color w:val="auto"/>
                <w:kern w:val="0"/>
                <w:szCs w:val="28"/>
                <w:highlight w:val="none"/>
                <w:lang w:val="en-US" w:eastAsia="zh-CN"/>
              </w:rPr>
              <w:t>20</w:t>
            </w:r>
            <w:r>
              <w:rPr>
                <w:rFonts w:hint="eastAsia" w:ascii="方正仿宋_GBK" w:hAnsi="仿宋" w:eastAsia="仿宋" w:cs="仿宋"/>
                <w:color w:val="auto"/>
                <w:kern w:val="0"/>
                <w:szCs w:val="28"/>
                <w:highlight w:val="none"/>
              </w:rPr>
              <w:t>年以来投标人承接类似</w:t>
            </w:r>
            <w:r>
              <w:rPr>
                <w:rFonts w:hint="eastAsia" w:ascii="方正仿宋_GBK" w:hAnsi="仿宋" w:eastAsia="仿宋" w:cs="仿宋"/>
                <w:color w:val="auto"/>
                <w:kern w:val="0"/>
                <w:szCs w:val="28"/>
                <w:highlight w:val="none"/>
                <w:lang w:val="en-US" w:eastAsia="zh-CN"/>
              </w:rPr>
              <w:t>业绩</w:t>
            </w:r>
            <w:r>
              <w:rPr>
                <w:rFonts w:hint="eastAsia" w:ascii="方正仿宋_GBK" w:hAnsi="仿宋" w:eastAsia="仿宋" w:cs="仿宋"/>
                <w:color w:val="auto"/>
                <w:kern w:val="0"/>
                <w:szCs w:val="28"/>
                <w:highlight w:val="none"/>
              </w:rPr>
              <w:t>项目，每提供一个业绩得2分，最高6分。不提供不得分</w:t>
            </w:r>
            <w:r>
              <w:rPr>
                <w:rFonts w:hint="eastAsia" w:ascii="方正仿宋_GBK" w:hAnsi="仿宋" w:eastAsia="仿宋" w:cs="仿宋"/>
                <w:color w:val="auto"/>
                <w:kern w:val="0"/>
                <w:szCs w:val="28"/>
                <w:highlight w:val="none"/>
                <w:lang w:eastAsia="zh-CN"/>
              </w:rPr>
              <w:t>。</w:t>
            </w:r>
          </w:p>
        </w:tc>
        <w:tc>
          <w:tcPr>
            <w:tcW w:w="1819"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lang w:eastAsia="zh-CN"/>
              </w:rPr>
            </w:pPr>
            <w:r>
              <w:rPr>
                <w:rFonts w:hint="eastAsia" w:ascii="方正仿宋_GBK" w:hAnsi="仿宋" w:eastAsia="仿宋" w:cs="仿宋"/>
                <w:color w:val="auto"/>
                <w:kern w:val="0"/>
                <w:szCs w:val="28"/>
                <w:highlight w:val="none"/>
              </w:rPr>
              <w:t>提供项目中标通知书或合同复印件，并加盖投标人公章</w:t>
            </w:r>
            <w:r>
              <w:rPr>
                <w:rFonts w:hint="eastAsia" w:ascii="方正仿宋_GBK" w:hAnsi="仿宋" w:eastAsia="仿宋" w:cs="仿宋"/>
                <w:color w:val="auto"/>
                <w:kern w:val="0"/>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16" w:type="dxa"/>
            <w:vMerge w:val="continue"/>
            <w:noWrap w:val="0"/>
            <w:vAlign w:val="center"/>
          </w:tcPr>
          <w:p>
            <w:pPr>
              <w:keepNext w:val="0"/>
              <w:keepLines w:val="0"/>
              <w:suppressLineNumbers w:val="0"/>
              <w:spacing w:before="0" w:beforeAutospacing="0" w:after="0" w:afterAutospacing="0" w:line="520" w:lineRule="exact"/>
              <w:ind w:left="0" w:right="0" w:firstLine="438" w:firstLineChars="200"/>
              <w:jc w:val="center"/>
              <w:rPr>
                <w:rFonts w:hint="eastAsia" w:ascii="方正仿宋_GBK" w:hAnsi="仿宋" w:eastAsia="仿宋" w:cs="仿宋"/>
                <w:color w:val="auto"/>
                <w:kern w:val="0"/>
                <w:szCs w:val="28"/>
                <w:highlight w:val="none"/>
              </w:rPr>
            </w:pPr>
          </w:p>
        </w:tc>
        <w:tc>
          <w:tcPr>
            <w:tcW w:w="1123"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eastAsia="zh-CN"/>
              </w:rPr>
              <w:t>企业实力</w:t>
            </w: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val="en-US" w:eastAsia="zh-CN"/>
              </w:rPr>
              <w:t>12</w:t>
            </w:r>
            <w:r>
              <w:rPr>
                <w:rFonts w:hint="eastAsia" w:ascii="方正仿宋_GBK" w:hAnsi="仿宋" w:eastAsia="仿宋" w:cs="仿宋"/>
                <w:color w:val="auto"/>
                <w:kern w:val="0"/>
                <w:szCs w:val="28"/>
                <w:highlight w:val="none"/>
              </w:rPr>
              <w:t>分）</w:t>
            </w:r>
          </w:p>
        </w:tc>
        <w:tc>
          <w:tcPr>
            <w:tcW w:w="5050"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en-US" w:eastAsia="zh-CN"/>
              </w:rPr>
              <w:t>1、</w:t>
            </w:r>
            <w:r>
              <w:rPr>
                <w:rFonts w:hint="eastAsia" w:ascii="方正仿宋_GBK" w:hAnsi="仿宋" w:eastAsia="仿宋" w:cs="仿宋"/>
                <w:color w:val="auto"/>
                <w:kern w:val="0"/>
                <w:szCs w:val="28"/>
                <w:highlight w:val="none"/>
              </w:rPr>
              <w:t>软件系统取得“信息系统安全等级保护第</w:t>
            </w:r>
            <w:r>
              <w:rPr>
                <w:rFonts w:hint="eastAsia" w:ascii="方正仿宋_GBK" w:hAnsi="仿宋" w:eastAsia="仿宋" w:cs="仿宋"/>
                <w:color w:val="auto"/>
                <w:kern w:val="0"/>
                <w:szCs w:val="28"/>
                <w:highlight w:val="none"/>
                <w:lang w:val="en-US" w:eastAsia="zh-CN"/>
              </w:rPr>
              <w:t>二</w:t>
            </w:r>
            <w:r>
              <w:rPr>
                <w:rFonts w:hint="eastAsia" w:ascii="方正仿宋_GBK" w:hAnsi="仿宋" w:eastAsia="仿宋" w:cs="仿宋"/>
                <w:color w:val="auto"/>
                <w:kern w:val="0"/>
                <w:szCs w:val="28"/>
                <w:highlight w:val="none"/>
              </w:rPr>
              <w:t>级”及以上证书的得</w:t>
            </w:r>
            <w:r>
              <w:rPr>
                <w:rFonts w:hint="eastAsia" w:ascii="方正仿宋_GBK" w:hAnsi="仿宋" w:eastAsia="仿宋" w:cs="仿宋"/>
                <w:color w:val="auto"/>
                <w:kern w:val="0"/>
                <w:szCs w:val="28"/>
                <w:highlight w:val="none"/>
                <w:lang w:val="en-US" w:eastAsia="zh-CN"/>
              </w:rPr>
              <w:t>3</w:t>
            </w:r>
            <w:r>
              <w:rPr>
                <w:rFonts w:hint="eastAsia" w:ascii="方正仿宋_GBK" w:hAnsi="仿宋" w:eastAsia="仿宋" w:cs="仿宋"/>
                <w:color w:val="auto"/>
                <w:kern w:val="0"/>
                <w:szCs w:val="28"/>
                <w:highlight w:val="none"/>
              </w:rPr>
              <w:t>分，取得“软件产品证书”的得</w:t>
            </w:r>
            <w:r>
              <w:rPr>
                <w:rFonts w:hint="eastAsia" w:ascii="方正仿宋_GBK" w:hAnsi="仿宋" w:eastAsia="仿宋" w:cs="仿宋"/>
                <w:color w:val="auto"/>
                <w:kern w:val="0"/>
                <w:szCs w:val="28"/>
                <w:highlight w:val="none"/>
                <w:lang w:val="en-US" w:eastAsia="zh-CN"/>
              </w:rPr>
              <w:t>3</w:t>
            </w:r>
            <w:r>
              <w:rPr>
                <w:rFonts w:hint="eastAsia" w:ascii="方正仿宋_GBK" w:hAnsi="仿宋" w:eastAsia="仿宋" w:cs="仿宋"/>
                <w:color w:val="auto"/>
                <w:kern w:val="0"/>
                <w:szCs w:val="28"/>
                <w:highlight w:val="none"/>
              </w:rPr>
              <w:t>分，最多得</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rPr>
              <w:t>分，不提供不得分。</w:t>
            </w:r>
          </w:p>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en-US" w:eastAsia="zh-CN"/>
              </w:rPr>
              <w:t>2、</w:t>
            </w:r>
            <w:r>
              <w:rPr>
                <w:rFonts w:hint="eastAsia" w:ascii="方正仿宋_GBK" w:hAnsi="仿宋" w:eastAsia="仿宋" w:cs="仿宋"/>
                <w:color w:val="auto"/>
                <w:kern w:val="0"/>
                <w:szCs w:val="28"/>
                <w:highlight w:val="none"/>
              </w:rPr>
              <w:t>提供所投本项目软件著</w:t>
            </w:r>
            <w:bookmarkStart w:id="995" w:name="_GoBack"/>
            <w:bookmarkEnd w:id="995"/>
            <w:r>
              <w:rPr>
                <w:rFonts w:hint="eastAsia" w:ascii="方正仿宋_GBK" w:hAnsi="仿宋" w:eastAsia="仿宋" w:cs="仿宋"/>
                <w:color w:val="auto"/>
                <w:kern w:val="0"/>
                <w:szCs w:val="28"/>
                <w:highlight w:val="none"/>
              </w:rPr>
              <w:t>作权证书</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lang w:val="zh-CN"/>
              </w:rPr>
              <w:t>专利证明文件</w:t>
            </w:r>
            <w:r>
              <w:rPr>
                <w:rFonts w:hint="eastAsia" w:ascii="方正仿宋_GBK" w:hAnsi="仿宋" w:eastAsia="仿宋" w:cs="仿宋"/>
                <w:color w:val="auto"/>
                <w:kern w:val="0"/>
                <w:szCs w:val="28"/>
                <w:highlight w:val="none"/>
              </w:rPr>
              <w:t>，每提供一份得</w:t>
            </w:r>
            <w:r>
              <w:rPr>
                <w:rFonts w:hint="eastAsia" w:ascii="方正仿宋_GBK" w:hAnsi="仿宋" w:eastAsia="仿宋" w:cs="仿宋"/>
                <w:color w:val="auto"/>
                <w:kern w:val="0"/>
                <w:szCs w:val="28"/>
                <w:highlight w:val="none"/>
                <w:lang w:val="en-US" w:eastAsia="zh-CN"/>
              </w:rPr>
              <w:t>2</w:t>
            </w:r>
            <w:r>
              <w:rPr>
                <w:rFonts w:hint="eastAsia" w:ascii="方正仿宋_GBK" w:hAnsi="仿宋" w:eastAsia="仿宋" w:cs="仿宋"/>
                <w:color w:val="auto"/>
                <w:kern w:val="0"/>
                <w:szCs w:val="28"/>
                <w:highlight w:val="none"/>
              </w:rPr>
              <w:t>分，最高得</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rPr>
              <w:t>分</w:t>
            </w:r>
            <w:r>
              <w:rPr>
                <w:rFonts w:hint="eastAsia" w:ascii="方正仿宋_GBK" w:hAnsi="仿宋" w:eastAsia="仿宋" w:cs="仿宋"/>
                <w:color w:val="auto"/>
                <w:kern w:val="0"/>
                <w:szCs w:val="28"/>
                <w:highlight w:val="none"/>
                <w:lang w:eastAsia="zh-CN"/>
              </w:rPr>
              <w:t>，</w:t>
            </w:r>
            <w:r>
              <w:rPr>
                <w:rFonts w:hint="eastAsia" w:ascii="方正仿宋_GBK" w:hAnsi="仿宋" w:eastAsia="仿宋" w:cs="仿宋"/>
                <w:color w:val="auto"/>
                <w:kern w:val="0"/>
                <w:szCs w:val="28"/>
                <w:highlight w:val="none"/>
              </w:rPr>
              <w:t>不提供不得分。</w:t>
            </w:r>
          </w:p>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p>
        </w:tc>
        <w:tc>
          <w:tcPr>
            <w:tcW w:w="1819" w:type="dxa"/>
            <w:noWrap w:val="0"/>
            <w:vAlign w:val="center"/>
          </w:tcPr>
          <w:p>
            <w:pPr>
              <w:keepNext w:val="0"/>
              <w:keepLines w:val="0"/>
              <w:suppressLineNumbers w:val="0"/>
              <w:spacing w:before="0" w:beforeAutospacing="0" w:after="0" w:afterAutospacing="0" w:line="520" w:lineRule="exact"/>
              <w:ind w:left="0" w:right="0" w:firstLine="438" w:firstLineChars="200"/>
              <w:jc w:val="left"/>
              <w:rPr>
                <w:rFonts w:hint="eastAsia" w:ascii="方正仿宋_GBK" w:hAnsi="仿宋" w:eastAsia="仿宋" w:cs="仿宋"/>
                <w:color w:val="auto"/>
                <w:kern w:val="0"/>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16" w:type="dxa"/>
            <w:vMerge w:val="continue"/>
            <w:noWrap w:val="0"/>
            <w:vAlign w:val="center"/>
          </w:tcPr>
          <w:p>
            <w:pPr>
              <w:keepNext w:val="0"/>
              <w:keepLines w:val="0"/>
              <w:suppressLineNumbers w:val="0"/>
              <w:spacing w:before="0" w:beforeAutospacing="0" w:after="0" w:afterAutospacing="0" w:line="520" w:lineRule="exact"/>
              <w:ind w:left="0" w:right="0" w:firstLine="438" w:firstLineChars="200"/>
              <w:jc w:val="center"/>
              <w:rPr>
                <w:rFonts w:hint="eastAsia" w:ascii="方正仿宋_GBK" w:hAnsi="仿宋" w:eastAsia="仿宋" w:cs="仿宋"/>
                <w:color w:val="auto"/>
                <w:kern w:val="0"/>
                <w:szCs w:val="28"/>
                <w:highlight w:val="none"/>
              </w:rPr>
            </w:pPr>
          </w:p>
        </w:tc>
        <w:tc>
          <w:tcPr>
            <w:tcW w:w="1123"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人员配备及技术水平（</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rPr>
              <w:t>分）</w:t>
            </w:r>
          </w:p>
        </w:tc>
        <w:tc>
          <w:tcPr>
            <w:tcW w:w="5050"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zh-CN" w:eastAsia="zh-CN"/>
              </w:rPr>
              <w:t>具有专业</w:t>
            </w:r>
            <w:r>
              <w:rPr>
                <w:rFonts w:hint="eastAsia" w:ascii="方正仿宋_GBK" w:hAnsi="仿宋" w:eastAsia="仿宋" w:cs="仿宋"/>
                <w:color w:val="auto"/>
                <w:kern w:val="0"/>
                <w:szCs w:val="28"/>
                <w:highlight w:val="none"/>
                <w:lang w:val="en-US" w:eastAsia="zh-CN"/>
              </w:rPr>
              <w:t>技术</w:t>
            </w:r>
            <w:r>
              <w:rPr>
                <w:rFonts w:hint="eastAsia" w:ascii="方正仿宋_GBK" w:hAnsi="仿宋" w:eastAsia="仿宋" w:cs="仿宋"/>
                <w:color w:val="auto"/>
                <w:kern w:val="0"/>
                <w:szCs w:val="28"/>
                <w:highlight w:val="none"/>
                <w:lang w:val="zh-CN" w:eastAsia="zh-CN"/>
              </w:rPr>
              <w:t>支持团队，团队人员具有计算机科学/软件工程/电子信息相关专业学历，每提供1人，得</w:t>
            </w:r>
            <w:r>
              <w:rPr>
                <w:rFonts w:hint="eastAsia" w:ascii="方正仿宋_GBK" w:hAnsi="仿宋" w:eastAsia="仿宋" w:cs="仿宋"/>
                <w:color w:val="auto"/>
                <w:kern w:val="0"/>
                <w:szCs w:val="28"/>
                <w:highlight w:val="none"/>
                <w:lang w:val="en-US" w:eastAsia="zh-CN"/>
              </w:rPr>
              <w:t>2</w:t>
            </w:r>
            <w:r>
              <w:rPr>
                <w:rFonts w:hint="eastAsia" w:ascii="方正仿宋_GBK" w:hAnsi="仿宋" w:eastAsia="仿宋" w:cs="仿宋"/>
                <w:color w:val="auto"/>
                <w:kern w:val="0"/>
                <w:szCs w:val="28"/>
                <w:highlight w:val="none"/>
                <w:lang w:val="zh-CN" w:eastAsia="zh-CN"/>
              </w:rPr>
              <w:t>分，最高得</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lang w:val="zh-CN" w:eastAsia="zh-CN"/>
              </w:rPr>
              <w:t>分。</w:t>
            </w:r>
            <w:r>
              <w:rPr>
                <w:rFonts w:hint="eastAsia" w:ascii="方正仿宋_GBK" w:hAnsi="仿宋" w:eastAsia="仿宋" w:cs="仿宋"/>
                <w:color w:val="auto"/>
                <w:kern w:val="0"/>
                <w:szCs w:val="28"/>
                <w:highlight w:val="none"/>
              </w:rPr>
              <w:t>不提供不得分</w:t>
            </w:r>
            <w:r>
              <w:rPr>
                <w:rFonts w:hint="eastAsia" w:ascii="方正仿宋_GBK" w:hAnsi="仿宋" w:eastAsia="仿宋" w:cs="仿宋"/>
                <w:color w:val="auto"/>
                <w:kern w:val="0"/>
                <w:szCs w:val="28"/>
                <w:highlight w:val="none"/>
                <w:lang w:eastAsia="zh-CN"/>
              </w:rPr>
              <w:t>。</w:t>
            </w:r>
          </w:p>
        </w:tc>
        <w:tc>
          <w:tcPr>
            <w:tcW w:w="1819"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zh-CN"/>
              </w:rPr>
              <w:t>提供毕业证书复印件加盖公章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16" w:type="dxa"/>
            <w:vMerge w:val="continue"/>
            <w:noWrap w:val="0"/>
            <w:vAlign w:val="center"/>
          </w:tcPr>
          <w:p>
            <w:pPr>
              <w:keepNext w:val="0"/>
              <w:keepLines w:val="0"/>
              <w:suppressLineNumbers w:val="0"/>
              <w:spacing w:before="0" w:beforeAutospacing="0" w:after="0" w:afterAutospacing="0" w:line="520" w:lineRule="exact"/>
              <w:ind w:left="0" w:right="0" w:firstLine="438" w:firstLineChars="200"/>
              <w:jc w:val="center"/>
              <w:rPr>
                <w:rFonts w:hint="eastAsia" w:ascii="方正仿宋_GBK" w:hAnsi="仿宋" w:eastAsia="仿宋" w:cs="仿宋"/>
                <w:color w:val="auto"/>
                <w:kern w:val="0"/>
                <w:szCs w:val="28"/>
                <w:highlight w:val="none"/>
              </w:rPr>
            </w:pPr>
          </w:p>
        </w:tc>
        <w:tc>
          <w:tcPr>
            <w:tcW w:w="1123" w:type="dxa"/>
            <w:noWrap w:val="0"/>
            <w:vAlign w:val="center"/>
          </w:tcPr>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信息安全</w:t>
            </w:r>
          </w:p>
          <w:p>
            <w:pPr>
              <w:keepNext w:val="0"/>
              <w:keepLines w:val="0"/>
              <w:suppressLineNumbers w:val="0"/>
              <w:spacing w:before="0" w:beforeAutospacing="0" w:after="0" w:afterAutospacing="0" w:line="520" w:lineRule="exact"/>
              <w:ind w:left="0" w:right="0"/>
              <w:jc w:val="center"/>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rPr>
              <w:t>分）</w:t>
            </w:r>
          </w:p>
          <w:p>
            <w:pPr>
              <w:keepNext w:val="0"/>
              <w:keepLines w:val="0"/>
              <w:suppressLineNumbers w:val="0"/>
              <w:spacing w:before="0" w:beforeAutospacing="0" w:after="0" w:afterAutospacing="0" w:line="520" w:lineRule="exact"/>
              <w:ind w:left="0" w:right="0" w:firstLine="438" w:firstLineChars="200"/>
              <w:jc w:val="center"/>
              <w:rPr>
                <w:rFonts w:hint="eastAsia" w:ascii="方正仿宋_GBK" w:hAnsi="仿宋" w:eastAsia="仿宋" w:cs="仿宋"/>
                <w:color w:val="auto"/>
                <w:kern w:val="0"/>
                <w:szCs w:val="28"/>
                <w:highlight w:val="none"/>
              </w:rPr>
            </w:pPr>
          </w:p>
        </w:tc>
        <w:tc>
          <w:tcPr>
            <w:tcW w:w="5050"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信息安全（</w:t>
            </w:r>
            <w:r>
              <w:rPr>
                <w:rFonts w:hint="eastAsia" w:ascii="方正仿宋_GBK" w:hAnsi="仿宋" w:eastAsia="仿宋" w:cs="仿宋"/>
                <w:color w:val="auto"/>
                <w:kern w:val="0"/>
                <w:szCs w:val="28"/>
                <w:highlight w:val="none"/>
                <w:lang w:val="en-US" w:eastAsia="zh-CN"/>
              </w:rPr>
              <w:t>6</w:t>
            </w:r>
            <w:r>
              <w:rPr>
                <w:rFonts w:hint="eastAsia" w:ascii="方正仿宋_GBK" w:hAnsi="仿宋" w:eastAsia="仿宋" w:cs="仿宋"/>
                <w:color w:val="auto"/>
                <w:kern w:val="0"/>
                <w:szCs w:val="28"/>
                <w:highlight w:val="none"/>
              </w:rPr>
              <w:t>分）</w:t>
            </w:r>
          </w:p>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针对本项目所涉及的软件系统提供《回归测试报告》得</w:t>
            </w:r>
            <w:r>
              <w:rPr>
                <w:rFonts w:hint="eastAsia" w:ascii="方正仿宋_GBK" w:hAnsi="仿宋" w:eastAsia="仿宋" w:cs="仿宋"/>
                <w:color w:val="auto"/>
                <w:kern w:val="0"/>
                <w:szCs w:val="28"/>
                <w:highlight w:val="none"/>
                <w:lang w:val="en-US" w:eastAsia="zh-CN"/>
              </w:rPr>
              <w:t>3</w:t>
            </w:r>
            <w:r>
              <w:rPr>
                <w:rFonts w:hint="eastAsia" w:ascii="方正仿宋_GBK" w:hAnsi="仿宋" w:eastAsia="仿宋" w:cs="仿宋"/>
                <w:color w:val="auto"/>
                <w:kern w:val="0"/>
                <w:szCs w:val="28"/>
                <w:highlight w:val="none"/>
              </w:rPr>
              <w:t>分，提供《渗透测试报告》得</w:t>
            </w:r>
            <w:r>
              <w:rPr>
                <w:rFonts w:hint="eastAsia" w:ascii="方正仿宋_GBK" w:hAnsi="仿宋" w:eastAsia="仿宋" w:cs="仿宋"/>
                <w:color w:val="auto"/>
                <w:kern w:val="0"/>
                <w:szCs w:val="28"/>
                <w:highlight w:val="none"/>
                <w:lang w:val="en-US" w:eastAsia="zh-CN"/>
              </w:rPr>
              <w:t>3</w:t>
            </w:r>
            <w:r>
              <w:rPr>
                <w:rFonts w:hint="eastAsia" w:ascii="方正仿宋_GBK" w:hAnsi="仿宋" w:eastAsia="仿宋" w:cs="仿宋"/>
                <w:color w:val="auto"/>
                <w:kern w:val="0"/>
                <w:szCs w:val="28"/>
                <w:highlight w:val="none"/>
              </w:rPr>
              <w:t>分，</w:t>
            </w:r>
            <w:r>
              <w:rPr>
                <w:rFonts w:hint="eastAsia" w:ascii="方正仿宋_GBK" w:hAnsi="仿宋" w:eastAsia="仿宋" w:cs="仿宋"/>
                <w:color w:val="auto"/>
                <w:kern w:val="0"/>
                <w:szCs w:val="28"/>
                <w:highlight w:val="none"/>
                <w:lang w:val="en-US" w:eastAsia="zh-CN"/>
              </w:rPr>
              <w:t>最高得6</w:t>
            </w:r>
            <w:r>
              <w:rPr>
                <w:rFonts w:hint="eastAsia" w:ascii="方正仿宋_GBK" w:hAnsi="仿宋" w:eastAsia="仿宋" w:cs="仿宋"/>
                <w:color w:val="auto"/>
                <w:kern w:val="0"/>
                <w:szCs w:val="28"/>
                <w:highlight w:val="none"/>
              </w:rPr>
              <w:t>分，</w:t>
            </w:r>
            <w:r>
              <w:rPr>
                <w:rFonts w:hint="eastAsia" w:ascii="方正仿宋_GBK" w:hAnsi="仿宋" w:eastAsia="仿宋" w:cs="仿宋"/>
                <w:color w:val="auto"/>
                <w:kern w:val="0"/>
                <w:szCs w:val="28"/>
                <w:highlight w:val="none"/>
                <w:lang w:val="en-US" w:eastAsia="zh-CN"/>
              </w:rPr>
              <w:t>不提供不得分</w:t>
            </w:r>
            <w:r>
              <w:rPr>
                <w:rFonts w:hint="eastAsia" w:ascii="方正仿宋_GBK" w:hAnsi="仿宋" w:eastAsia="仿宋" w:cs="仿宋"/>
                <w:color w:val="auto"/>
                <w:kern w:val="0"/>
                <w:szCs w:val="28"/>
                <w:highlight w:val="none"/>
              </w:rPr>
              <w:t>。</w:t>
            </w:r>
          </w:p>
        </w:tc>
        <w:tc>
          <w:tcPr>
            <w:tcW w:w="1819" w:type="dxa"/>
            <w:noWrap w:val="0"/>
            <w:vAlign w:val="center"/>
          </w:tcPr>
          <w:p>
            <w:pPr>
              <w:keepNext w:val="0"/>
              <w:keepLines w:val="0"/>
              <w:suppressLineNumbers w:val="0"/>
              <w:spacing w:before="0" w:beforeAutospacing="0" w:after="0" w:afterAutospacing="0" w:line="520" w:lineRule="exact"/>
              <w:ind w:left="0" w:right="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lang w:val="zh-CN"/>
              </w:rPr>
              <w:t>相关证书复印件加盖公章</w:t>
            </w:r>
          </w:p>
        </w:tc>
      </w:tr>
    </w:tbl>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说明：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处理。</w:t>
      </w:r>
    </w:p>
    <w:p>
      <w:pPr>
        <w:spacing w:before="156" w:after="156" w:line="520" w:lineRule="exact"/>
        <w:ind w:firstLine="438" w:firstLineChars="200"/>
        <w:jc w:val="left"/>
        <w:outlineLvl w:val="1"/>
        <w:rPr>
          <w:rFonts w:eastAsia="仿宋" w:cs="宋体"/>
          <w:b/>
          <w:bCs/>
          <w:color w:val="auto"/>
          <w:szCs w:val="28"/>
          <w:highlight w:val="none"/>
        </w:rPr>
      </w:pPr>
      <w:bookmarkStart w:id="430" w:name="_Toc48837318"/>
      <w:bookmarkStart w:id="431" w:name="_Toc27554"/>
      <w:bookmarkStart w:id="432" w:name="_Toc3598"/>
      <w:bookmarkStart w:id="433" w:name="_Toc14187"/>
      <w:bookmarkStart w:id="434" w:name="_Toc2463"/>
      <w:bookmarkStart w:id="435" w:name="_Toc65512153"/>
      <w:bookmarkStart w:id="436" w:name="_Toc13857"/>
      <w:bookmarkStart w:id="437" w:name="_Toc19280"/>
      <w:bookmarkStart w:id="438" w:name="_Toc12698"/>
      <w:bookmarkStart w:id="439" w:name="_Toc23685"/>
      <w:bookmarkStart w:id="440" w:name="_Toc16350"/>
      <w:bookmarkStart w:id="441" w:name="_Toc16220"/>
      <w:bookmarkStart w:id="442" w:name="_Toc30220"/>
      <w:bookmarkStart w:id="443" w:name="_Toc5155"/>
      <w:bookmarkStart w:id="444" w:name="_Toc32306"/>
      <w:bookmarkStart w:id="445" w:name="_Toc32421"/>
      <w:bookmarkStart w:id="446" w:name="_Toc17257"/>
      <w:bookmarkStart w:id="447" w:name="_Toc731"/>
      <w:bookmarkStart w:id="448" w:name="_Toc20884"/>
      <w:bookmarkStart w:id="449" w:name="_Toc3301"/>
      <w:bookmarkStart w:id="450" w:name="_Toc16045"/>
      <w:bookmarkStart w:id="451" w:name="_Toc521"/>
      <w:bookmarkStart w:id="452" w:name="_Toc2703"/>
      <w:bookmarkStart w:id="453" w:name="_Toc26383"/>
      <w:bookmarkStart w:id="454" w:name="_Toc22532"/>
      <w:bookmarkStart w:id="455" w:name="_Toc8076"/>
      <w:bookmarkStart w:id="456" w:name="_Toc32107"/>
      <w:bookmarkStart w:id="457" w:name="_Toc2090"/>
      <w:r>
        <w:rPr>
          <w:rFonts w:hint="eastAsia" w:eastAsia="仿宋" w:cs="宋体"/>
          <w:b/>
          <w:bCs/>
          <w:color w:val="auto"/>
          <w:szCs w:val="28"/>
          <w:highlight w:val="none"/>
        </w:rPr>
        <w:t>三、无效响应</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spacing w:line="520" w:lineRule="exact"/>
        <w:ind w:firstLine="438" w:firstLineChars="200"/>
        <w:jc w:val="left"/>
        <w:rPr>
          <w:rFonts w:ascii="方正仿宋_GBK" w:hAnsi="仿宋" w:eastAsia="仿宋" w:cs="仿宋"/>
          <w:color w:val="auto"/>
          <w:kern w:val="0"/>
          <w:szCs w:val="28"/>
          <w:highlight w:val="none"/>
        </w:rPr>
      </w:pPr>
      <w:bookmarkStart w:id="458" w:name="_Toc495592658"/>
      <w:bookmarkStart w:id="459" w:name="_Toc493506302"/>
      <w:bookmarkStart w:id="460" w:name="_Toc492721019"/>
      <w:r>
        <w:rPr>
          <w:rFonts w:hint="eastAsia" w:ascii="方正仿宋_GBK" w:hAnsi="仿宋" w:eastAsia="仿宋" w:cs="仿宋"/>
          <w:color w:val="auto"/>
          <w:kern w:val="0"/>
          <w:szCs w:val="28"/>
          <w:highlight w:val="none"/>
        </w:rPr>
        <w:t>供应商发生以下条款情况之一者，为无效响应，其响应文件将被拒绝：</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（一）供应商不符合规定的资格条件的；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（二）供应商的法定代表人（或其授权代表）或自然人未参加磋商；</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bookmarkStart w:id="461" w:name="_Hlk84856470"/>
      <w:r>
        <w:rPr>
          <w:rFonts w:hint="eastAsia" w:ascii="方正仿宋_GBK" w:hAnsi="仿宋" w:eastAsia="仿宋" w:cs="仿宋"/>
          <w:color w:val="auto"/>
          <w:kern w:val="0"/>
          <w:szCs w:val="28"/>
          <w:highlight w:val="none"/>
        </w:rPr>
        <w:t>供应商所提交的响应文件</w:t>
      </w:r>
      <w:bookmarkEnd w:id="461"/>
      <w:r>
        <w:rPr>
          <w:rFonts w:hint="eastAsia" w:ascii="方正仿宋_GBK" w:hAnsi="仿宋" w:eastAsia="仿宋" w:cs="仿宋"/>
          <w:color w:val="auto"/>
          <w:kern w:val="0"/>
          <w:szCs w:val="28"/>
          <w:highlight w:val="none"/>
        </w:rPr>
        <w:t>不按磋商文件规定签字、盖章；</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（四）供应商的最后报价超过最高限价的；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（五）</w:t>
      </w:r>
      <w:bookmarkStart w:id="462" w:name="_Hlk84856597"/>
      <w:r>
        <w:rPr>
          <w:rFonts w:hint="eastAsia" w:ascii="方正仿宋_GBK" w:hAnsi="仿宋" w:eastAsia="仿宋" w:cs="仿宋"/>
          <w:color w:val="auto"/>
          <w:kern w:val="0"/>
          <w:szCs w:val="28"/>
          <w:highlight w:val="none"/>
        </w:rPr>
        <w:t>单位负责人为同一人或者存在直接控股、管理关系的不同供应商，参加同一合同项下的政府采购活动的；</w:t>
      </w:r>
      <w:bookmarkEnd w:id="462"/>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（六）为采购项目提供整体设计、规范编制或者项目管理、监理、检测等服务的供应商，再参加该采购项目的其他采购活动；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（七）供应商磋商有效期不满足</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文件要求的；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（八）供应商组成联合体响应的（磋商文件载明不接受联合体时适用）；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（九）供应商响应文件内容有与国家现行法律法规相违背的内容，或附有采购人无法接受的条件。</w:t>
      </w:r>
    </w:p>
    <w:p>
      <w:pPr>
        <w:snapToGrid w:val="0"/>
        <w:spacing w:line="400" w:lineRule="exact"/>
        <w:ind w:firstLine="465"/>
        <w:rPr>
          <w:rFonts w:ascii="方正仿宋_GBK" w:hAnsi="宋体"/>
          <w:color w:val="auto"/>
          <w:szCs w:val="24"/>
          <w:highlight w:val="none"/>
        </w:rPr>
      </w:pPr>
      <w:r>
        <w:rPr>
          <w:rFonts w:hint="eastAsia" w:ascii="方正仿宋_GBK" w:hAnsi="宋体"/>
          <w:color w:val="auto"/>
          <w:szCs w:val="24"/>
          <w:highlight w:val="none"/>
        </w:rPr>
        <w:t>（十）法律、法规和</w:t>
      </w:r>
      <w:r>
        <w:rPr>
          <w:rFonts w:hint="eastAsia" w:ascii="方正仿宋_GBK" w:hAnsi="宋体"/>
          <w:color w:val="auto"/>
          <w:szCs w:val="24"/>
          <w:highlight w:val="none"/>
          <w:lang w:eastAsia="zh-CN"/>
        </w:rPr>
        <w:t>竞争性磋商</w:t>
      </w:r>
      <w:r>
        <w:rPr>
          <w:rFonts w:hint="eastAsia" w:ascii="方正仿宋_GBK" w:hAnsi="宋体"/>
          <w:color w:val="auto"/>
          <w:szCs w:val="24"/>
          <w:highlight w:val="none"/>
        </w:rPr>
        <w:t>文件规定的其他无效情形。</w:t>
      </w:r>
    </w:p>
    <w:p>
      <w:pPr>
        <w:spacing w:before="156" w:after="156" w:line="520" w:lineRule="exact"/>
        <w:ind w:firstLine="438" w:firstLineChars="200"/>
        <w:jc w:val="left"/>
        <w:outlineLvl w:val="1"/>
        <w:rPr>
          <w:rFonts w:eastAsia="仿宋" w:cs="宋体"/>
          <w:b/>
          <w:bCs/>
          <w:color w:val="auto"/>
          <w:szCs w:val="28"/>
          <w:highlight w:val="none"/>
        </w:rPr>
      </w:pPr>
      <w:bookmarkStart w:id="463" w:name="_Toc17719"/>
      <w:bookmarkStart w:id="464" w:name="_Toc26852"/>
      <w:bookmarkStart w:id="465" w:name="_Toc28559"/>
      <w:bookmarkStart w:id="466" w:name="_Toc938"/>
      <w:bookmarkStart w:id="467" w:name="_Toc8728"/>
      <w:bookmarkStart w:id="468" w:name="_Toc8228"/>
      <w:bookmarkStart w:id="469" w:name="_Toc28569"/>
      <w:bookmarkStart w:id="470" w:name="_Toc18935"/>
      <w:bookmarkStart w:id="471" w:name="_Toc7367"/>
      <w:bookmarkStart w:id="472" w:name="_Toc11565"/>
      <w:bookmarkStart w:id="473" w:name="_Toc21144"/>
      <w:bookmarkStart w:id="474" w:name="_Toc11445"/>
      <w:bookmarkStart w:id="475" w:name="_Toc7917"/>
      <w:bookmarkStart w:id="476" w:name="_Toc65512154"/>
      <w:bookmarkStart w:id="477" w:name="_Toc15957"/>
      <w:bookmarkStart w:id="478" w:name="_Toc26329"/>
      <w:bookmarkStart w:id="479" w:name="_Toc9753"/>
      <w:bookmarkStart w:id="480" w:name="_Toc3785"/>
      <w:bookmarkStart w:id="481" w:name="_Toc10520"/>
      <w:bookmarkStart w:id="482" w:name="_Toc11451"/>
      <w:bookmarkStart w:id="483" w:name="_Toc16889"/>
      <w:bookmarkStart w:id="484" w:name="_Toc29713"/>
      <w:bookmarkStart w:id="485" w:name="_Toc1197"/>
      <w:bookmarkStart w:id="486" w:name="_Toc17334"/>
      <w:bookmarkStart w:id="487" w:name="_Toc48837319"/>
      <w:bookmarkStart w:id="488" w:name="_Toc2147"/>
      <w:bookmarkStart w:id="489" w:name="_Toc29865"/>
      <w:bookmarkStart w:id="490" w:name="_Toc19464"/>
      <w:r>
        <w:rPr>
          <w:rFonts w:hint="eastAsia" w:eastAsia="仿宋" w:cs="宋体"/>
          <w:b/>
          <w:bCs/>
          <w:color w:val="auto"/>
          <w:szCs w:val="28"/>
          <w:highlight w:val="none"/>
        </w:rPr>
        <w:t>四、</w:t>
      </w:r>
      <w:bookmarkEnd w:id="458"/>
      <w:bookmarkEnd w:id="459"/>
      <w:bookmarkEnd w:id="460"/>
      <w:r>
        <w:rPr>
          <w:rFonts w:hint="eastAsia" w:eastAsia="仿宋" w:cs="宋体"/>
          <w:b/>
          <w:bCs/>
          <w:color w:val="auto"/>
          <w:szCs w:val="28"/>
          <w:highlight w:val="none"/>
        </w:rPr>
        <w:t>采购终止</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出现下列情形之一的，采购人或者采购代理机构应当终止</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采购活动，发布项目终止公告并说明原因，重新开展采购活动：</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（一）因情况变化，不再符合规定的</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采购方式适用情形的；</w:t>
      </w: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（二）出现影响采购公正的违法、违规行为的；</w:t>
      </w:r>
    </w:p>
    <w:p>
      <w:pPr>
        <w:spacing w:line="520" w:lineRule="exact"/>
        <w:ind w:firstLine="438" w:firstLineChars="200"/>
        <w:jc w:val="left"/>
        <w:rPr>
          <w:rFonts w:ascii="方正仿宋_GBK" w:hAnsi="仿宋" w:eastAsia="仿宋" w:cs="仿宋"/>
          <w:color w:val="auto"/>
          <w:kern w:val="0"/>
          <w:szCs w:val="28"/>
          <w:highlight w:val="none"/>
        </w:rPr>
        <w:sectPr>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pPr>
      <w:r>
        <w:rPr>
          <w:rFonts w:hint="eastAsia" w:ascii="方正仿宋_GBK" w:hAnsi="仿宋" w:eastAsia="仿宋" w:cs="仿宋"/>
          <w:color w:val="auto"/>
          <w:kern w:val="0"/>
          <w:szCs w:val="28"/>
          <w:highlight w:val="none"/>
        </w:rPr>
        <w:t>（三）在采购过程中符合要求的供应商或者报价未超过采购预算的供应商不足3家的，但《政府采购</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采购方式管理暂行办法》第二十一条第三款规定的情形,以及财政部财库[2015]124号文件规定的情形除外。</w:t>
      </w:r>
    </w:p>
    <w:bookmarkEnd w:id="429"/>
    <w:p>
      <w:pPr>
        <w:pStyle w:val="3"/>
        <w:numPr>
          <w:ilvl w:val="0"/>
          <w:numId w:val="0"/>
        </w:numPr>
        <w:spacing w:before="120" w:after="120"/>
        <w:ind w:leftChars="0"/>
        <w:jc w:val="center"/>
        <w:rPr>
          <w:color w:val="auto"/>
          <w:szCs w:val="22"/>
          <w:highlight w:val="none"/>
        </w:rPr>
      </w:pPr>
      <w:bookmarkStart w:id="491" w:name="_Toc19943"/>
      <w:bookmarkStart w:id="492" w:name="_Toc31912"/>
      <w:bookmarkStart w:id="493" w:name="_Toc28550"/>
      <w:bookmarkStart w:id="494" w:name="_Toc25684"/>
      <w:bookmarkStart w:id="495" w:name="_Toc48837320"/>
      <w:bookmarkStart w:id="496" w:name="_Toc26024"/>
      <w:bookmarkStart w:id="497" w:name="_Toc29941"/>
      <w:bookmarkStart w:id="498" w:name="_Toc2595"/>
      <w:bookmarkStart w:id="499" w:name="_Toc28113"/>
      <w:bookmarkStart w:id="500" w:name="_Toc27672"/>
      <w:bookmarkStart w:id="501" w:name="_Toc2670"/>
      <w:bookmarkStart w:id="502" w:name="_Toc1914"/>
      <w:bookmarkStart w:id="503" w:name="_Toc23757"/>
      <w:bookmarkStart w:id="504" w:name="_Toc17877"/>
      <w:bookmarkStart w:id="505" w:name="_Toc21571"/>
      <w:bookmarkStart w:id="506" w:name="_Toc10626"/>
      <w:bookmarkStart w:id="507" w:name="_Toc14826"/>
      <w:bookmarkStart w:id="508" w:name="_Toc3704"/>
      <w:bookmarkStart w:id="509" w:name="_Toc30537"/>
      <w:bookmarkStart w:id="510" w:name="_Toc11334"/>
      <w:bookmarkStart w:id="511" w:name="_Toc11106"/>
      <w:bookmarkStart w:id="512" w:name="_Toc6408"/>
      <w:bookmarkStart w:id="513" w:name="_Toc7488"/>
      <w:bookmarkStart w:id="514" w:name="_Toc28095"/>
      <w:bookmarkStart w:id="515" w:name="_Toc12249"/>
      <w:bookmarkStart w:id="516" w:name="_Toc11270"/>
      <w:bookmarkStart w:id="517" w:name="_Toc25557"/>
      <w:bookmarkStart w:id="518" w:name="_Toc30219"/>
      <w:r>
        <w:rPr>
          <w:rFonts w:hint="eastAsia"/>
          <w:color w:val="auto"/>
          <w:szCs w:val="22"/>
          <w:highlight w:val="none"/>
          <w:lang w:eastAsia="zh-CN"/>
        </w:rPr>
        <w:t>第五篇</w:t>
      </w:r>
      <w:r>
        <w:rPr>
          <w:rFonts w:hint="eastAsia"/>
          <w:color w:val="auto"/>
          <w:szCs w:val="22"/>
          <w:highlight w:val="none"/>
          <w:lang w:val="en-US" w:eastAsia="zh-CN"/>
        </w:rPr>
        <w:t xml:space="preserve">  </w:t>
      </w:r>
      <w:r>
        <w:rPr>
          <w:rFonts w:hint="eastAsia"/>
          <w:color w:val="auto"/>
          <w:szCs w:val="22"/>
          <w:highlight w:val="none"/>
        </w:rPr>
        <w:t>供应商须知</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bookmarkStart w:id="519" w:name="_Toc48837321"/>
      <w:bookmarkStart w:id="520" w:name="_Toc11889"/>
      <w:bookmarkStart w:id="521" w:name="_Toc25930"/>
      <w:bookmarkStart w:id="522" w:name="_Toc7063"/>
      <w:bookmarkStart w:id="523" w:name="_Toc24005"/>
      <w:bookmarkStart w:id="524" w:name="_Toc18692"/>
      <w:bookmarkStart w:id="525" w:name="_Toc18984"/>
      <w:bookmarkStart w:id="526" w:name="_Toc1122"/>
      <w:bookmarkStart w:id="527" w:name="_Toc6608"/>
      <w:bookmarkStart w:id="528" w:name="_Toc26802"/>
      <w:bookmarkStart w:id="529" w:name="_Toc15846"/>
      <w:bookmarkStart w:id="530" w:name="_Toc4340"/>
      <w:bookmarkStart w:id="531" w:name="_Toc10737"/>
      <w:bookmarkStart w:id="532" w:name="_Toc24216"/>
      <w:bookmarkStart w:id="533" w:name="_Toc22525"/>
      <w:bookmarkStart w:id="534" w:name="_Toc65512156"/>
      <w:bookmarkStart w:id="535" w:name="_Toc11853"/>
      <w:bookmarkStart w:id="536" w:name="_Toc1817"/>
      <w:bookmarkStart w:id="537" w:name="_Toc17191"/>
      <w:bookmarkStart w:id="538" w:name="_Toc5449"/>
      <w:bookmarkStart w:id="539" w:name="_Toc8802"/>
      <w:bookmarkStart w:id="540" w:name="_Toc22160"/>
      <w:bookmarkStart w:id="541" w:name="_Toc28864"/>
      <w:bookmarkStart w:id="542" w:name="_Toc6949"/>
      <w:bookmarkStart w:id="543" w:name="_Toc4154"/>
      <w:bookmarkStart w:id="544" w:name="_Toc27012"/>
      <w:bookmarkStart w:id="545" w:name="_Toc22471"/>
      <w:bookmarkStart w:id="546" w:name="_Toc18065"/>
      <w:bookmarkStart w:id="547" w:name="_Toc7838"/>
      <w:bookmarkStart w:id="548" w:name="_Toc495592661"/>
      <w:r>
        <w:rPr>
          <w:rFonts w:hint="eastAsia" w:eastAsia="仿宋" w:cs="宋体"/>
          <w:b/>
          <w:bCs/>
          <w:color w:val="auto"/>
          <w:szCs w:val="28"/>
          <w:highlight w:val="none"/>
        </w:rPr>
        <w:t>一、磋商费用</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参与磋商的供应商应承担其编制响应文件与递交响应文件所涉及的一切费用，不论磋商结果如何，采购人和采购代理机构在任何情况下无义务也无责任承担这些费用。</w:t>
      </w:r>
    </w:p>
    <w:bookmarkEnd w:id="548"/>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bookmarkStart w:id="549" w:name="_Toc48837322"/>
      <w:bookmarkStart w:id="550" w:name="_Toc6793"/>
      <w:bookmarkStart w:id="551" w:name="_Toc24459"/>
      <w:bookmarkStart w:id="552" w:name="_Toc28248"/>
      <w:bookmarkStart w:id="553" w:name="_Toc24056"/>
      <w:bookmarkStart w:id="554" w:name="_Toc26385"/>
      <w:bookmarkStart w:id="555" w:name="_Toc11594"/>
      <w:bookmarkStart w:id="556" w:name="_Toc6050"/>
      <w:bookmarkStart w:id="557" w:name="_Toc31824"/>
      <w:bookmarkStart w:id="558" w:name="_Toc3940"/>
      <w:bookmarkStart w:id="559" w:name="_Toc5175"/>
      <w:bookmarkStart w:id="560" w:name="_Toc17888"/>
      <w:bookmarkStart w:id="561" w:name="_Toc18712"/>
      <w:bookmarkStart w:id="562" w:name="_Toc15823"/>
      <w:bookmarkStart w:id="563" w:name="_Toc26700"/>
      <w:bookmarkStart w:id="564" w:name="_Toc466546926"/>
      <w:bookmarkStart w:id="565" w:name="_Toc65512157"/>
      <w:bookmarkStart w:id="566" w:name="_Toc32292"/>
      <w:bookmarkStart w:id="567" w:name="_Toc22862"/>
      <w:bookmarkStart w:id="568" w:name="_Toc2882"/>
      <w:bookmarkStart w:id="569" w:name="_Toc27928"/>
      <w:bookmarkStart w:id="570" w:name="_Toc6684"/>
      <w:bookmarkStart w:id="571" w:name="_Toc13873"/>
      <w:bookmarkStart w:id="572" w:name="_Toc8987"/>
      <w:bookmarkStart w:id="573" w:name="_Toc1425"/>
      <w:bookmarkStart w:id="574" w:name="_Toc7965"/>
      <w:bookmarkStart w:id="575" w:name="_Toc30461"/>
      <w:bookmarkStart w:id="576" w:name="_Toc17503"/>
      <w:bookmarkStart w:id="577" w:name="_Toc29110"/>
      <w:bookmarkStart w:id="578" w:name="_Toc15149"/>
      <w:bookmarkStart w:id="579" w:name="_Toc23225"/>
      <w:bookmarkStart w:id="580" w:name="_Toc495592662"/>
      <w:r>
        <w:rPr>
          <w:rFonts w:hint="eastAsia" w:eastAsia="仿宋" w:cs="宋体"/>
          <w:b/>
          <w:bCs/>
          <w:color w:val="auto"/>
          <w:szCs w:val="28"/>
          <w:highlight w:val="none"/>
        </w:rPr>
        <w:t>二、</w:t>
      </w:r>
      <w:r>
        <w:rPr>
          <w:rFonts w:hint="eastAsia" w:eastAsia="仿宋" w:cs="宋体"/>
          <w:b/>
          <w:bCs/>
          <w:color w:val="auto"/>
          <w:szCs w:val="28"/>
          <w:highlight w:val="none"/>
          <w:lang w:eastAsia="zh-CN"/>
        </w:rPr>
        <w:t>竞争性磋商</w:t>
      </w:r>
      <w:r>
        <w:rPr>
          <w:rFonts w:hint="eastAsia" w:eastAsia="仿宋" w:cs="宋体"/>
          <w:b/>
          <w:bCs/>
          <w:color w:val="auto"/>
          <w:szCs w:val="28"/>
          <w:highlight w:val="none"/>
        </w:rPr>
        <w:t>文件</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bookmarkStart w:id="581" w:name="_Toc755"/>
      <w:bookmarkStart w:id="582" w:name="_Toc13318"/>
      <w:bookmarkStart w:id="583" w:name="_Toc24110"/>
      <w:bookmarkStart w:id="584" w:name="_Toc16031"/>
      <w:bookmarkStart w:id="585" w:name="_Toc12088"/>
      <w:bookmarkStart w:id="586" w:name="_Toc7846"/>
      <w:bookmarkStart w:id="587" w:name="_Toc65512158"/>
      <w:bookmarkStart w:id="588" w:name="_Toc6181"/>
      <w:bookmarkStart w:id="589" w:name="_Toc24924"/>
      <w:bookmarkStart w:id="590" w:name="_Toc3092"/>
      <w:bookmarkStart w:id="591" w:name="_Toc1475"/>
      <w:bookmarkStart w:id="592" w:name="_Toc144"/>
      <w:bookmarkStart w:id="593" w:name="_Toc48837323"/>
      <w:bookmarkStart w:id="594" w:name="_Toc2271"/>
      <w:bookmarkStart w:id="595" w:name="_Toc4761"/>
      <w:bookmarkStart w:id="596" w:name="_Toc12571"/>
      <w:bookmarkStart w:id="597" w:name="_Toc14931"/>
      <w:bookmarkStart w:id="598" w:name="_Toc1990"/>
      <w:bookmarkStart w:id="599" w:name="_Toc23284"/>
      <w:bookmarkStart w:id="600" w:name="_Toc14092"/>
      <w:bookmarkStart w:id="601" w:name="_Toc27538"/>
      <w:bookmarkStart w:id="602" w:name="_Toc24716"/>
      <w:bookmarkStart w:id="603" w:name="_Toc21645"/>
      <w:bookmarkStart w:id="604" w:name="_Toc4956"/>
      <w:bookmarkStart w:id="605" w:name="_Toc26135"/>
      <w:bookmarkStart w:id="606" w:name="_Toc18120"/>
      <w:bookmarkStart w:id="607" w:name="_Toc19275"/>
      <w:bookmarkStart w:id="608" w:name="_Toc18397"/>
      <w:r>
        <w:rPr>
          <w:rFonts w:hint="eastAsia" w:ascii="方正仿宋_GBK" w:hAnsi="仿宋" w:eastAsia="仿宋" w:cs="仿宋"/>
          <w:color w:val="auto"/>
          <w:kern w:val="0"/>
          <w:szCs w:val="28"/>
          <w:highlight w:val="none"/>
        </w:rPr>
        <w:t>（一）竞争性磋商文件由采购邀请书，采购服务（技术）需求，采购商务需求，磋商程序及方法、评审标准、无效响应和采购终止，供应商须知，响应文件编制要求等</w:t>
      </w:r>
      <w:r>
        <w:rPr>
          <w:rFonts w:hint="eastAsia" w:ascii="方正仿宋_GBK" w:hAnsi="仿宋" w:eastAsia="仿宋" w:cs="仿宋"/>
          <w:color w:val="auto"/>
          <w:kern w:val="0"/>
          <w:szCs w:val="28"/>
          <w:highlight w:val="none"/>
          <w:lang w:eastAsia="zh-CN"/>
        </w:rPr>
        <w:t>六</w:t>
      </w:r>
      <w:r>
        <w:rPr>
          <w:rFonts w:hint="eastAsia" w:ascii="方正仿宋_GBK" w:hAnsi="仿宋" w:eastAsia="仿宋" w:cs="仿宋"/>
          <w:color w:val="auto"/>
          <w:kern w:val="0"/>
          <w:szCs w:val="28"/>
          <w:highlight w:val="none"/>
        </w:rPr>
        <w:t>部分组成。</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（二）采购人所作的一切有效的书面通知、修改及补充，都是竞争性磋商文件不可分割的部分。</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三</w:t>
      </w:r>
      <w:r>
        <w:rPr>
          <w:rFonts w:hint="eastAsia" w:ascii="方正仿宋_GBK" w:hAnsi="仿宋" w:eastAsia="仿宋" w:cs="仿宋"/>
          <w:color w:val="auto"/>
          <w:kern w:val="0"/>
          <w:szCs w:val="28"/>
          <w:highlight w:val="none"/>
        </w:rPr>
        <w:t>）本竞争性磋商文件中，磋商小组根据与供应商进行磋商可能实质性变动的内容为竞争性磋商文件第二、三篇全部内容。</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w:t>
      </w:r>
      <w:r>
        <w:rPr>
          <w:rFonts w:hint="eastAsia" w:ascii="方正仿宋_GBK" w:hAnsi="仿宋" w:eastAsia="仿宋" w:cs="仿宋"/>
          <w:color w:val="auto"/>
          <w:kern w:val="0"/>
          <w:szCs w:val="28"/>
          <w:highlight w:val="none"/>
          <w:lang w:eastAsia="zh-CN"/>
        </w:rPr>
        <w:t>四</w:t>
      </w:r>
      <w:r>
        <w:rPr>
          <w:rFonts w:hint="eastAsia" w:ascii="方正仿宋_GBK" w:hAnsi="仿宋" w:eastAsia="仿宋" w:cs="仿宋"/>
          <w:color w:val="auto"/>
          <w:kern w:val="0"/>
          <w:szCs w:val="28"/>
          <w:highlight w:val="none"/>
        </w:rPr>
        <w:t>）评审的依据为竞争性磋商文件和响应文件（含有效的书面承诺）。磋商小组判断响应文件对竞争性磋商文件的响应，仅基于响应文件本身而不靠外部证据。</w:t>
      </w:r>
    </w:p>
    <w:p>
      <w:pPr>
        <w:keepNext w:val="0"/>
        <w:keepLines w:val="0"/>
        <w:pageBreakBefore w:val="0"/>
        <w:widowControl w:val="0"/>
        <w:kinsoku/>
        <w:wordWrap/>
        <w:overflowPunct/>
        <w:topLinePunct w:val="0"/>
        <w:autoSpaceDE/>
        <w:autoSpaceDN/>
        <w:bidi w:val="0"/>
        <w:adjustRightInd/>
        <w:spacing w:before="156" w:after="156" w:line="520" w:lineRule="exact"/>
        <w:ind w:firstLine="482" w:firstLineChars="200"/>
        <w:jc w:val="left"/>
        <w:textAlignment w:val="auto"/>
        <w:outlineLvl w:val="1"/>
        <w:rPr>
          <w:rFonts w:eastAsia="仿宋" w:cs="宋体"/>
          <w:b/>
          <w:bCs/>
          <w:color w:val="auto"/>
          <w:szCs w:val="28"/>
          <w:highlight w:val="none"/>
        </w:rPr>
      </w:pPr>
      <w:r>
        <w:rPr>
          <w:rFonts w:hint="eastAsia" w:eastAsia="仿宋" w:cs="宋体"/>
          <w:b/>
          <w:bCs/>
          <w:color w:val="auto"/>
          <w:szCs w:val="28"/>
          <w:highlight w:val="none"/>
        </w:rPr>
        <w:t>三、</w:t>
      </w:r>
      <w:bookmarkEnd w:id="580"/>
      <w:r>
        <w:rPr>
          <w:rFonts w:hint="eastAsia" w:eastAsia="仿宋" w:cs="宋体"/>
          <w:b/>
          <w:bCs/>
          <w:color w:val="auto"/>
          <w:szCs w:val="28"/>
          <w:highlight w:val="none"/>
        </w:rPr>
        <w:t>磋商要求</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（一）响应文件</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1.供应商应当按照</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文件的要求编制响应文件，并对</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文件提出的要求和条件作出实质性响应，响应文件原则上采用软面订本，同时应编制完整的页码、目录。</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2.响应文件组成</w:t>
      </w:r>
    </w:p>
    <w:p>
      <w:pPr>
        <w:spacing w:line="520" w:lineRule="exact"/>
        <w:ind w:firstLine="480" w:firstLineChars="200"/>
        <w:jc w:val="left"/>
        <w:rPr>
          <w:rFonts w:ascii="宋体" w:hAnsi="宋体" w:eastAsia="仿宋" w:cs="宋体"/>
          <w:color w:val="auto"/>
          <w:highlight w:val="none"/>
        </w:rPr>
      </w:pPr>
      <w:r>
        <w:rPr>
          <w:rFonts w:hint="eastAsia" w:ascii="方正仿宋_GBK" w:hAnsi="仿宋" w:eastAsia="仿宋" w:cs="仿宋"/>
          <w:color w:val="auto"/>
          <w:kern w:val="0"/>
          <w:szCs w:val="28"/>
          <w:highlight w:val="none"/>
        </w:rPr>
        <w:t>响应文件由</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“响应文件编制要求”规定的部分和供应商所作的一切有效补充、修改和承诺等文件组成，供应商应按照</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“响应文件编制要求”规定的目录顺序组织编写和装订，也可在基本格式基础上对表格进行扩展，未规定格式的由供应商自定格式。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（二）联合体</w:t>
      </w:r>
    </w:p>
    <w:p>
      <w:pPr>
        <w:spacing w:line="520" w:lineRule="exact"/>
        <w:ind w:firstLine="480" w:firstLineChars="200"/>
        <w:jc w:val="left"/>
        <w:rPr>
          <w:rFonts w:hint="eastAsia" w:eastAsia="方正仿宋_GBK"/>
          <w:color w:val="auto"/>
          <w:highlight w:val="none"/>
          <w:lang w:eastAsia="zh-CN"/>
        </w:rPr>
      </w:pPr>
      <w:bookmarkStart w:id="609" w:name="_Hlk84853302"/>
      <w:r>
        <w:rPr>
          <w:rFonts w:hint="eastAsia"/>
          <w:color w:val="auto"/>
          <w:highlight w:val="none"/>
          <w:lang w:eastAsia="zh-CN"/>
        </w:rPr>
        <w:t>本项目不接受联合体投标</w:t>
      </w:r>
    </w:p>
    <w:bookmarkEnd w:id="609"/>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（三）磋商有效期：响应文件及有关承诺文件有效期为提交响应文件截止时间起90天。</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（四）修正错误</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1.若供应商所递交的响应文件或最后报价中的价格出现大写金额和小写金额不一致的错误，以大写金额修正为准。</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磋商小组按上述修正错误的原则及方法修正供应商的报价，修正的方式为供应商作出书面澄清、说明或者补正，并加盖公章，或者由法定代表人（或其授权代表）或自然人（供应商为自然人）签字。供应商的澄清、说明或者补正不得超出响应文件的范围或者改变响应文件的实质性内容。</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调整后的报价对供应商具有约束作用，如果同意书不接受修正后的报价，则其响应文件将作为无效处理。</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（五）提交响应文件的份数和签署</w:t>
      </w:r>
    </w:p>
    <w:p>
      <w:pPr>
        <w:spacing w:line="520" w:lineRule="exact"/>
        <w:ind w:firstLine="480" w:firstLineChars="200"/>
        <w:jc w:val="left"/>
        <w:rPr>
          <w:rFonts w:ascii="方正仿宋_GBK" w:hAnsi="仿宋" w:eastAsia="仿宋" w:cs="仿宋"/>
          <w:b w:val="0"/>
          <w:bCs w:val="0"/>
          <w:color w:val="auto"/>
          <w:kern w:val="0"/>
          <w:szCs w:val="28"/>
          <w:highlight w:val="none"/>
          <w:u w:val="none"/>
        </w:rPr>
      </w:pPr>
      <w:bookmarkStart w:id="610" w:name="_Hlk84855761"/>
      <w:r>
        <w:rPr>
          <w:rFonts w:hint="eastAsia" w:ascii="方正仿宋_GBK" w:hAnsi="仿宋" w:eastAsia="仿宋" w:cs="仿宋"/>
          <w:b w:val="0"/>
          <w:bCs w:val="0"/>
          <w:color w:val="auto"/>
          <w:kern w:val="0"/>
          <w:szCs w:val="28"/>
          <w:highlight w:val="none"/>
          <w:u w:val="none"/>
        </w:rPr>
        <w:t>1.响应文件一式</w:t>
      </w:r>
      <w:r>
        <w:rPr>
          <w:rFonts w:hint="eastAsia" w:ascii="方正仿宋_GBK" w:hAnsi="仿宋" w:eastAsia="仿宋" w:cs="仿宋"/>
          <w:b w:val="0"/>
          <w:bCs w:val="0"/>
          <w:color w:val="auto"/>
          <w:kern w:val="0"/>
          <w:szCs w:val="28"/>
          <w:highlight w:val="none"/>
          <w:u w:val="none"/>
          <w:lang w:eastAsia="zh-CN"/>
        </w:rPr>
        <w:t>两</w:t>
      </w:r>
      <w:r>
        <w:rPr>
          <w:rFonts w:hint="eastAsia" w:ascii="方正仿宋_GBK" w:hAnsi="仿宋" w:eastAsia="仿宋" w:cs="仿宋"/>
          <w:b w:val="0"/>
          <w:bCs w:val="0"/>
          <w:color w:val="auto"/>
          <w:kern w:val="0"/>
          <w:szCs w:val="28"/>
          <w:highlight w:val="none"/>
          <w:u w:val="none"/>
        </w:rPr>
        <w:t>份，其中正本一份，副本一份，；副本可为正本的复印件，应与正本一致，如出现不一致情况以正本为准。</w:t>
      </w:r>
      <w:bookmarkEnd w:id="610"/>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2.在响应文件正本中，</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w:t>
      </w:r>
      <w:r>
        <w:rPr>
          <w:rFonts w:hint="eastAsia" w:ascii="方正仿宋_GBK" w:hAnsi="仿宋" w:eastAsia="仿宋" w:cs="仿宋"/>
          <w:color w:val="auto"/>
          <w:kern w:val="0"/>
          <w:szCs w:val="28"/>
          <w:highlight w:val="none"/>
          <w:lang w:eastAsia="zh-CN"/>
        </w:rPr>
        <w:t>第六篇</w:t>
      </w:r>
      <w:r>
        <w:rPr>
          <w:rFonts w:hint="eastAsia" w:ascii="方正仿宋_GBK" w:hAnsi="仿宋" w:eastAsia="仿宋" w:cs="仿宋"/>
          <w:color w:val="auto"/>
          <w:kern w:val="0"/>
          <w:szCs w:val="28"/>
          <w:highlight w:val="none"/>
        </w:rPr>
        <w:t>“响应文件编制要求”中规定签字、盖章的地方必须按其规定签字、盖章。</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（六）</w:t>
      </w:r>
      <w:bookmarkStart w:id="611" w:name="_Hlk84855887"/>
      <w:r>
        <w:rPr>
          <w:rFonts w:hint="eastAsia" w:ascii="方正仿宋_GBK" w:hAnsi="仿宋" w:eastAsia="仿宋" w:cs="仿宋"/>
          <w:color w:val="auto"/>
          <w:kern w:val="0"/>
          <w:szCs w:val="28"/>
          <w:highlight w:val="none"/>
        </w:rPr>
        <w:t>响应文件的递交</w:t>
      </w:r>
    </w:p>
    <w:p>
      <w:pPr>
        <w:spacing w:line="520" w:lineRule="exact"/>
        <w:ind w:firstLine="480" w:firstLineChars="200"/>
        <w:jc w:val="left"/>
        <w:rPr>
          <w:rFonts w:ascii="方正仿宋_GBK" w:hAnsi="仿宋" w:eastAsia="仿宋" w:cs="仿宋"/>
          <w:color w:val="auto"/>
          <w:kern w:val="0"/>
          <w:szCs w:val="28"/>
          <w:highlight w:val="none"/>
        </w:rPr>
      </w:pPr>
      <w:bookmarkStart w:id="612" w:name="_Toc466546928"/>
      <w:bookmarkStart w:id="613" w:name="_Toc5414"/>
      <w:bookmarkStart w:id="614" w:name="_Toc5765"/>
      <w:r>
        <w:rPr>
          <w:rFonts w:hint="eastAsia" w:ascii="方正仿宋_GBK" w:hAnsi="仿宋" w:eastAsia="仿宋" w:cs="仿宋"/>
          <w:color w:val="auto"/>
          <w:kern w:val="0"/>
          <w:szCs w:val="28"/>
          <w:highlight w:val="none"/>
        </w:rPr>
        <w:t>响应文件的正本、副本均应密封送达磋商地点，应在封套上注明磋商项目名称、供应商名称。若正本、副本分别进行密封的，还应在封套上注明“正本”、“副本”、“电子文档”字样。</w:t>
      </w:r>
      <w:bookmarkEnd w:id="611"/>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（七）响应文件语言：简体中文</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（八）供应商参与人员</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各个供应商应当派1-2名代表参与磋商，至少1人应为法定代表人（或其授权代表）或自然人（供应商为自然人）。</w:t>
      </w:r>
    </w:p>
    <w:p>
      <w:pPr>
        <w:spacing w:before="156" w:after="156" w:line="520" w:lineRule="exact"/>
        <w:ind w:firstLine="482" w:firstLineChars="200"/>
        <w:jc w:val="left"/>
        <w:outlineLvl w:val="1"/>
        <w:rPr>
          <w:rFonts w:hint="eastAsia" w:eastAsia="仿宋" w:cs="宋体"/>
          <w:b/>
          <w:bCs/>
          <w:color w:val="auto"/>
          <w:szCs w:val="28"/>
          <w:highlight w:val="none"/>
          <w:lang w:eastAsia="zh-CN"/>
        </w:rPr>
      </w:pPr>
      <w:bookmarkStart w:id="615" w:name="_Toc30764"/>
      <w:bookmarkStart w:id="616" w:name="_Toc21225"/>
      <w:bookmarkStart w:id="617" w:name="_Toc6406"/>
      <w:bookmarkStart w:id="618" w:name="_Toc32602"/>
      <w:bookmarkStart w:id="619" w:name="_Toc6760"/>
      <w:bookmarkStart w:id="620" w:name="_Toc22957"/>
      <w:bookmarkStart w:id="621" w:name="_Toc13200"/>
      <w:bookmarkStart w:id="622" w:name="_Toc48837324"/>
      <w:bookmarkStart w:id="623" w:name="_Toc10288"/>
      <w:bookmarkStart w:id="624" w:name="_Toc21169"/>
      <w:bookmarkStart w:id="625" w:name="_Toc8534"/>
      <w:bookmarkStart w:id="626" w:name="_Toc25819"/>
      <w:bookmarkStart w:id="627" w:name="_Toc2330"/>
      <w:bookmarkStart w:id="628" w:name="_Toc30540"/>
      <w:bookmarkStart w:id="629" w:name="_Toc2524"/>
      <w:bookmarkStart w:id="630" w:name="_Toc8357"/>
      <w:bookmarkStart w:id="631" w:name="_Toc65512159"/>
      <w:bookmarkStart w:id="632" w:name="_Toc29101"/>
      <w:bookmarkStart w:id="633" w:name="_Toc20673"/>
      <w:bookmarkStart w:id="634" w:name="_Toc12616"/>
      <w:bookmarkStart w:id="635" w:name="_Toc29207"/>
      <w:bookmarkStart w:id="636" w:name="_Toc12777"/>
      <w:bookmarkStart w:id="637" w:name="_Toc2492"/>
      <w:bookmarkStart w:id="638" w:name="_Toc22394"/>
      <w:bookmarkStart w:id="639" w:name="_Toc29692"/>
      <w:bookmarkStart w:id="640" w:name="_Toc27362"/>
      <w:bookmarkStart w:id="641" w:name="_Toc830"/>
      <w:bookmarkStart w:id="642" w:name="_Toc4934"/>
      <w:r>
        <w:rPr>
          <w:rFonts w:hint="eastAsia" w:eastAsia="仿宋" w:cs="宋体"/>
          <w:b/>
          <w:bCs/>
          <w:color w:val="auto"/>
          <w:szCs w:val="28"/>
          <w:highlight w:val="none"/>
        </w:rPr>
        <w:t>四、</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Fonts w:hint="eastAsia" w:eastAsia="仿宋" w:cs="宋体"/>
          <w:b/>
          <w:bCs/>
          <w:color w:val="auto"/>
          <w:szCs w:val="28"/>
          <w:highlight w:val="none"/>
          <w:lang w:eastAsia="zh-CN"/>
        </w:rPr>
        <w:t>成交通知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bookmarkStart w:id="643" w:name="_Toc9838"/>
      <w:bookmarkStart w:id="644" w:name="_Toc16450"/>
      <w:bookmarkStart w:id="645" w:name="_Toc16539"/>
      <w:bookmarkStart w:id="646" w:name="_Toc28797"/>
      <w:bookmarkStart w:id="647" w:name="_Toc25570"/>
      <w:bookmarkStart w:id="648" w:name="_Toc14938"/>
      <w:bookmarkStart w:id="649" w:name="_Toc10869"/>
      <w:bookmarkStart w:id="650" w:name="_Toc59"/>
      <w:bookmarkStart w:id="651" w:name="_Toc13622"/>
      <w:bookmarkStart w:id="652" w:name="_Toc6889"/>
      <w:bookmarkStart w:id="653" w:name="_Toc1299"/>
      <w:bookmarkStart w:id="654" w:name="_Toc3826"/>
      <w:bookmarkStart w:id="655" w:name="_Toc20683"/>
      <w:bookmarkStart w:id="656" w:name="_Toc2040"/>
      <w:bookmarkStart w:id="657" w:name="_Toc65512160"/>
      <w:bookmarkStart w:id="658" w:name="_Toc102227321"/>
      <w:bookmarkStart w:id="659" w:name="_Toc5692"/>
      <w:bookmarkStart w:id="660" w:name="_Toc3121"/>
      <w:bookmarkStart w:id="661" w:name="_Toc8011"/>
      <w:bookmarkStart w:id="662" w:name="_Toc31319"/>
      <w:bookmarkStart w:id="663" w:name="_Toc1926"/>
      <w:bookmarkStart w:id="664" w:name="_Toc342913395"/>
      <w:bookmarkStart w:id="665" w:name="_Toc48837325"/>
      <w:bookmarkStart w:id="666" w:name="_Toc23363"/>
      <w:bookmarkStart w:id="667" w:name="_Toc9630"/>
      <w:bookmarkStart w:id="668" w:name="_Toc20781"/>
      <w:bookmarkStart w:id="669" w:name="_Toc28017"/>
      <w:bookmarkStart w:id="670" w:name="_Toc466546929"/>
      <w:bookmarkStart w:id="671" w:name="_Toc15745"/>
      <w:r>
        <w:rPr>
          <w:rFonts w:hint="eastAsia" w:ascii="方正仿宋_GBK" w:hAnsi="仿宋" w:eastAsia="仿宋" w:cs="仿宋"/>
          <w:color w:val="auto"/>
          <w:kern w:val="0"/>
          <w:szCs w:val="28"/>
          <w:highlight w:val="none"/>
        </w:rPr>
        <w:t>（一）成交供应商确定后，采购</w:t>
      </w:r>
      <w:r>
        <w:rPr>
          <w:rFonts w:hint="eastAsia" w:ascii="方正仿宋_GBK" w:hAnsi="仿宋" w:eastAsia="仿宋" w:cs="仿宋"/>
          <w:color w:val="auto"/>
          <w:kern w:val="0"/>
          <w:szCs w:val="28"/>
          <w:highlight w:val="none"/>
          <w:lang w:eastAsia="zh-CN"/>
        </w:rPr>
        <w:t>人</w:t>
      </w:r>
      <w:r>
        <w:rPr>
          <w:rFonts w:hint="eastAsia" w:ascii="方正仿宋_GBK" w:hAnsi="仿宋" w:eastAsia="仿宋" w:cs="仿宋"/>
          <w:color w:val="auto"/>
          <w:kern w:val="0"/>
          <w:szCs w:val="28"/>
          <w:highlight w:val="none"/>
        </w:rPr>
        <w:t>将在重庆</w:t>
      </w:r>
      <w:r>
        <w:rPr>
          <w:rFonts w:hint="eastAsia" w:ascii="方正仿宋_GBK" w:hAnsi="仿宋" w:eastAsia="仿宋" w:cs="仿宋"/>
          <w:color w:val="auto"/>
          <w:kern w:val="0"/>
          <w:szCs w:val="28"/>
          <w:highlight w:val="none"/>
          <w:lang w:eastAsia="zh-CN"/>
        </w:rPr>
        <w:t>巴南区第二人民医院官网</w:t>
      </w:r>
      <w:r>
        <w:rPr>
          <w:rFonts w:hint="eastAsia" w:ascii="方正仿宋_GBK" w:hAnsi="仿宋" w:eastAsia="仿宋" w:cs="仿宋"/>
          <w:color w:val="auto"/>
          <w:kern w:val="0"/>
          <w:szCs w:val="28"/>
          <w:highlight w:val="none"/>
        </w:rPr>
        <w:t>上发布成交结果公告。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（二）结果公告发出同时，采购</w:t>
      </w:r>
      <w:r>
        <w:rPr>
          <w:rFonts w:hint="eastAsia" w:ascii="方正仿宋_GBK" w:hAnsi="仿宋" w:eastAsia="仿宋" w:cs="仿宋"/>
          <w:color w:val="auto"/>
          <w:kern w:val="0"/>
          <w:szCs w:val="28"/>
          <w:highlight w:val="none"/>
          <w:lang w:eastAsia="zh-CN"/>
        </w:rPr>
        <w:t>人</w:t>
      </w:r>
      <w:r>
        <w:rPr>
          <w:rFonts w:hint="eastAsia" w:ascii="方正仿宋_GBK" w:hAnsi="仿宋" w:eastAsia="仿宋" w:cs="仿宋"/>
          <w:color w:val="auto"/>
          <w:kern w:val="0"/>
          <w:szCs w:val="28"/>
          <w:highlight w:val="none"/>
        </w:rPr>
        <w:t>将以书面形式发出《成交通知书》。《成交通知书》一经发出即发生法律效力。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（三）《成交通知书》将作为签订合同的依据。</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Start w:id="672" w:name="_Toc22277"/>
      <w:bookmarkStart w:id="673" w:name="_Toc10976"/>
      <w:bookmarkStart w:id="674" w:name="_Toc2902"/>
      <w:bookmarkStart w:id="675" w:name="_Toc24231"/>
      <w:bookmarkStart w:id="676" w:name="_Toc6151"/>
      <w:bookmarkStart w:id="677" w:name="_Toc22988"/>
      <w:bookmarkStart w:id="678" w:name="_Toc21650"/>
      <w:bookmarkStart w:id="679" w:name="_Toc12983"/>
      <w:bookmarkStart w:id="680" w:name="_Toc30247"/>
      <w:bookmarkStart w:id="681" w:name="_Toc27598"/>
      <w:bookmarkStart w:id="682" w:name="_Toc25914"/>
      <w:bookmarkStart w:id="683" w:name="_Toc5467"/>
      <w:bookmarkStart w:id="684" w:name="_Toc27976"/>
      <w:bookmarkStart w:id="685" w:name="_Toc22985"/>
      <w:bookmarkStart w:id="686" w:name="_Toc5312"/>
      <w:bookmarkStart w:id="687" w:name="_Toc16883"/>
      <w:bookmarkStart w:id="688" w:name="_Toc1541"/>
      <w:bookmarkStart w:id="689" w:name="_Toc48837326"/>
      <w:bookmarkStart w:id="690" w:name="_Toc20298"/>
      <w:bookmarkStart w:id="691" w:name="_Toc32388"/>
      <w:bookmarkStart w:id="692" w:name="_Toc11606"/>
      <w:bookmarkStart w:id="693" w:name="_Toc20152"/>
      <w:bookmarkStart w:id="694" w:name="_Toc14430"/>
      <w:bookmarkStart w:id="695" w:name="_Toc11317"/>
      <w:bookmarkStart w:id="696" w:name="_Toc19735"/>
      <w:bookmarkStart w:id="697" w:name="_Toc65512161"/>
      <w:bookmarkStart w:id="698" w:name="_Toc6746"/>
      <w:bookmarkStart w:id="699" w:name="_Toc23002"/>
      <w:bookmarkStart w:id="700" w:name="_Toc13169"/>
      <w:bookmarkStart w:id="701" w:name="_Toc466546930"/>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eastAsia="仿宋" w:cs="宋体"/>
          <w:b/>
          <w:bCs/>
          <w:color w:val="auto"/>
          <w:szCs w:val="28"/>
          <w:highlight w:val="none"/>
        </w:rPr>
      </w:pPr>
      <w:r>
        <w:rPr>
          <w:rFonts w:hint="eastAsia" w:eastAsia="仿宋" w:cs="宋体"/>
          <w:b/>
          <w:bCs/>
          <w:color w:val="auto"/>
          <w:szCs w:val="28"/>
          <w:highlight w:val="none"/>
          <w:lang w:eastAsia="zh-CN"/>
        </w:rPr>
        <w:t>五</w:t>
      </w:r>
      <w:r>
        <w:rPr>
          <w:rFonts w:hint="eastAsia" w:eastAsia="仿宋" w:cs="宋体"/>
          <w:b/>
          <w:bCs/>
          <w:color w:val="auto"/>
          <w:szCs w:val="28"/>
          <w:highlight w:val="none"/>
        </w:rPr>
        <w:t>、</w:t>
      </w:r>
      <w:bookmarkStart w:id="702" w:name="_Hlk84942436"/>
      <w:r>
        <w:rPr>
          <w:rFonts w:hint="eastAsia" w:eastAsia="仿宋" w:cs="宋体"/>
          <w:b/>
          <w:bCs/>
          <w:color w:val="auto"/>
          <w:szCs w:val="28"/>
          <w:highlight w:val="none"/>
        </w:rPr>
        <w:t>成交供应商</w:t>
      </w:r>
      <w:r>
        <w:rPr>
          <w:rFonts w:hint="eastAsia" w:eastAsia="仿宋" w:cs="宋体"/>
          <w:b/>
          <w:bCs/>
          <w:color w:val="auto"/>
          <w:szCs w:val="28"/>
          <w:highlight w:val="none"/>
          <w:lang w:eastAsia="zh-CN"/>
        </w:rPr>
        <w:t>的确认和</w:t>
      </w:r>
      <w:r>
        <w:rPr>
          <w:rFonts w:hint="eastAsia" w:eastAsia="仿宋" w:cs="宋体"/>
          <w:b/>
          <w:bCs/>
          <w:color w:val="auto"/>
          <w:szCs w:val="28"/>
          <w:highlight w:val="none"/>
        </w:rPr>
        <w:t>变更</w:t>
      </w:r>
      <w:bookmarkEnd w:id="672"/>
      <w:bookmarkEnd w:id="673"/>
      <w:bookmarkEnd w:id="674"/>
      <w:bookmarkEnd w:id="675"/>
      <w:bookmarkEnd w:id="702"/>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（一）成交供应商的确认</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采购人根据磋商评分结果现场确定成交供应商，并在2个工作日内公示成交结果。</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（二）成交供应商的变更</w:t>
      </w:r>
    </w:p>
    <w:p>
      <w:pPr>
        <w:spacing w:line="520" w:lineRule="exact"/>
        <w:ind w:firstLine="480" w:firstLineChars="200"/>
        <w:jc w:val="left"/>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1、若成交供应商因不可抗力或者自身原因不能履行合同的，采购人可以确定排名其后一位的成交候选人为成交供应商</w:t>
      </w:r>
    </w:p>
    <w:p>
      <w:pPr>
        <w:spacing w:line="520" w:lineRule="exact"/>
        <w:ind w:firstLine="480" w:firstLineChars="200"/>
        <w:jc w:val="left"/>
        <w:rPr>
          <w:rFonts w:ascii="方正仿宋_GBK" w:hAnsi="仿宋" w:eastAsia="仿宋" w:cs="仿宋"/>
          <w:color w:val="auto"/>
          <w:kern w:val="0"/>
          <w:szCs w:val="28"/>
          <w:highlight w:val="none"/>
        </w:rPr>
      </w:pPr>
      <w:r>
        <w:rPr>
          <w:rFonts w:hint="default" w:ascii="Times New Roman" w:hAnsi="Times New Roman" w:eastAsia="方正仿宋_GBK" w:cs="Times New Roman"/>
          <w:kern w:val="0"/>
          <w:szCs w:val="28"/>
          <w:highlight w:val="none"/>
        </w:rPr>
        <w:t>2、成交供应商无充分理由放弃成交的，按其他相关规定进行处理。</w:t>
      </w:r>
    </w:p>
    <w:p>
      <w:pPr>
        <w:spacing w:before="156" w:after="156" w:line="520" w:lineRule="exact"/>
        <w:ind w:firstLine="482" w:firstLineChars="200"/>
        <w:jc w:val="left"/>
        <w:outlineLvl w:val="1"/>
        <w:rPr>
          <w:rFonts w:eastAsia="仿宋" w:cs="宋体"/>
          <w:b/>
          <w:bCs/>
          <w:color w:val="auto"/>
          <w:szCs w:val="28"/>
          <w:highlight w:val="none"/>
        </w:rPr>
      </w:pPr>
      <w:bookmarkStart w:id="703" w:name="_Toc8704"/>
      <w:bookmarkStart w:id="704" w:name="_Toc30417"/>
      <w:bookmarkStart w:id="705" w:name="_Toc8609"/>
      <w:bookmarkStart w:id="706" w:name="_Toc2342"/>
      <w:r>
        <w:rPr>
          <w:rFonts w:hint="eastAsia" w:eastAsia="仿宋" w:cs="宋体"/>
          <w:b/>
          <w:bCs/>
          <w:color w:val="auto"/>
          <w:szCs w:val="28"/>
          <w:highlight w:val="none"/>
          <w:lang w:eastAsia="zh-CN"/>
        </w:rPr>
        <w:t>六</w:t>
      </w:r>
      <w:r>
        <w:rPr>
          <w:rFonts w:hint="eastAsia" w:eastAsia="仿宋" w:cs="宋体"/>
          <w:b/>
          <w:bCs/>
          <w:color w:val="auto"/>
          <w:szCs w:val="28"/>
          <w:highlight w:val="none"/>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Fonts w:hint="eastAsia" w:eastAsia="仿宋" w:cs="宋体"/>
          <w:b/>
          <w:bCs/>
          <w:color w:val="auto"/>
          <w:szCs w:val="28"/>
          <w:highlight w:val="none"/>
        </w:rPr>
        <w:t>质疑和投诉</w:t>
      </w:r>
      <w:bookmarkEnd w:id="703"/>
      <w:bookmarkEnd w:id="704"/>
      <w:bookmarkEnd w:id="705"/>
      <w:bookmarkEnd w:id="706"/>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（一）质疑内容、时限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1、供应商对成交结果有异议的，应当在结果公告期限届满之日起七个工作日内以书面形式向采购人提出质疑，并附相关证明材料。</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2、供应商对竞争性磋商文件中供应商特定资格条件、技术质量和商务要求、评审标准及评审细则有异议的，应主要向采购人提出质疑。</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（二）质疑答复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采购人在收到供应商书面质疑后七个工作日内，对质疑内容作出答复。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（三）不予受理或暂缓受理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1、质疑有下列情形之一的，不予受理：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1.1质疑供应商参与了磋商活动后，再对竞争性磋商文件内容提出质疑的；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1.2质疑超过有效期的；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1.3对同一事项重复质疑的。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2、质疑有下列情形之一的，应暂不受理并告知供应商补充材料。供应商及时补充材料的，应予受理；逾期未补充的，不予受理：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2.1质疑书格式和内容不符合国家或重庆市相关规定的；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2.2质疑书提供的依据或证明材料不全的；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2.3质疑书副本数量不足的。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（四）投诉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hAnsi="仿宋" w:eastAsia="仿宋" w:cs="仿宋"/>
          <w:color w:val="auto"/>
          <w:kern w:val="0"/>
          <w:szCs w:val="28"/>
          <w:highlight w:val="none"/>
        </w:rPr>
      </w:pPr>
      <w:r>
        <w:rPr>
          <w:rFonts w:hint="default" w:ascii="Times New Roman" w:hAnsi="Times New Roman" w:eastAsia="方正仿宋_GBK" w:cs="Times New Roman"/>
          <w:kern w:val="0"/>
          <w:szCs w:val="28"/>
          <w:highlight w:val="none"/>
        </w:rPr>
        <w:t>供应商对采购办的答复不满意，或者采购办未在规定时间内答复的，可在答复期满后十五个工作日内按有关规定，向有关监管部门投诉。</w:t>
      </w:r>
    </w:p>
    <w:p>
      <w:pPr>
        <w:spacing w:before="156" w:after="156" w:line="520" w:lineRule="exact"/>
        <w:ind w:firstLine="482" w:firstLineChars="200"/>
        <w:jc w:val="left"/>
        <w:outlineLvl w:val="1"/>
        <w:rPr>
          <w:rFonts w:eastAsia="仿宋" w:cs="宋体"/>
          <w:b/>
          <w:bCs/>
          <w:color w:val="auto"/>
          <w:szCs w:val="28"/>
          <w:highlight w:val="none"/>
        </w:rPr>
      </w:pPr>
      <w:bookmarkStart w:id="707" w:name="_Toc102227322"/>
      <w:bookmarkStart w:id="708" w:name="_Toc8030"/>
      <w:bookmarkStart w:id="709" w:name="_Toc29969"/>
      <w:bookmarkStart w:id="710" w:name="_Toc23596"/>
      <w:bookmarkStart w:id="711" w:name="_Toc28166"/>
      <w:bookmarkStart w:id="712" w:name="_Toc10380"/>
      <w:bookmarkStart w:id="713" w:name="_Toc466546933"/>
      <w:bookmarkStart w:id="714" w:name="_Toc25013"/>
      <w:bookmarkStart w:id="715" w:name="_Toc3190"/>
      <w:bookmarkStart w:id="716" w:name="_Toc1366"/>
      <w:bookmarkStart w:id="717" w:name="_Toc24988"/>
      <w:bookmarkStart w:id="718" w:name="_Toc26233"/>
      <w:bookmarkStart w:id="719" w:name="_Toc13271"/>
      <w:bookmarkStart w:id="720" w:name="_Toc4110"/>
      <w:bookmarkStart w:id="721" w:name="_Toc30962"/>
      <w:bookmarkStart w:id="722" w:name="_Toc1858"/>
      <w:bookmarkStart w:id="723" w:name="_Toc15949"/>
      <w:bookmarkStart w:id="724" w:name="_Toc342913396"/>
      <w:bookmarkStart w:id="725" w:name="_Toc22688"/>
      <w:bookmarkStart w:id="726" w:name="_Toc11926"/>
      <w:bookmarkStart w:id="727" w:name="_Toc30709"/>
      <w:bookmarkStart w:id="728" w:name="_Toc9101"/>
      <w:bookmarkStart w:id="729" w:name="_Toc65512162"/>
      <w:bookmarkStart w:id="730" w:name="_Toc9871"/>
      <w:bookmarkStart w:id="731" w:name="_Toc12792"/>
      <w:bookmarkStart w:id="732" w:name="_Toc6511"/>
      <w:bookmarkStart w:id="733" w:name="_Toc26939"/>
      <w:bookmarkStart w:id="734" w:name="_Toc25749"/>
      <w:bookmarkStart w:id="735" w:name="_Toc10058"/>
      <w:bookmarkStart w:id="736" w:name="_Toc2535"/>
      <w:bookmarkStart w:id="737" w:name="_Toc48837327"/>
      <w:bookmarkStart w:id="738" w:name="_Toc30977"/>
      <w:bookmarkStart w:id="739" w:name="_Toc22387"/>
      <w:r>
        <w:rPr>
          <w:rFonts w:hint="eastAsia" w:eastAsia="仿宋" w:cs="宋体"/>
          <w:b/>
          <w:bCs/>
          <w:color w:val="auto"/>
          <w:szCs w:val="28"/>
          <w:highlight w:val="none"/>
          <w:lang w:eastAsia="zh-CN"/>
        </w:rPr>
        <w:t>七</w:t>
      </w:r>
      <w:r>
        <w:rPr>
          <w:rFonts w:hint="eastAsia" w:eastAsia="仿宋" w:cs="宋体"/>
          <w:b/>
          <w:bCs/>
          <w:color w:val="auto"/>
          <w:szCs w:val="28"/>
          <w:highlight w:val="none"/>
        </w:rPr>
        <w:t>、签订</w:t>
      </w:r>
      <w:bookmarkEnd w:id="707"/>
      <w:r>
        <w:rPr>
          <w:rFonts w:hint="eastAsia" w:eastAsia="仿宋" w:cs="宋体"/>
          <w:b/>
          <w:bCs/>
          <w:color w:val="auto"/>
          <w:szCs w:val="28"/>
          <w:highlight w:val="none"/>
        </w:rPr>
        <w:t>合同</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（一）采购人应当自成交通知书发出之日起三十日内，与成交供应商签订书面合同。所签订的合同不得对</w:t>
      </w:r>
      <w:r>
        <w:rPr>
          <w:rFonts w:hint="eastAsia" w:ascii="Times New Roman" w:hAnsi="Times New Roman" w:cs="Times New Roman"/>
          <w:kern w:val="0"/>
          <w:szCs w:val="28"/>
          <w:highlight w:val="none"/>
          <w:lang w:eastAsia="zh-CN"/>
        </w:rPr>
        <w:t>磋商</w:t>
      </w:r>
      <w:r>
        <w:rPr>
          <w:rFonts w:hint="default" w:ascii="Times New Roman" w:hAnsi="Times New Roman" w:eastAsia="方正仿宋_GBK" w:cs="Times New Roman"/>
          <w:kern w:val="0"/>
          <w:szCs w:val="28"/>
          <w:highlight w:val="none"/>
        </w:rPr>
        <w:t>文件和成交供应商响应文件作实质性修改。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成交供应商逾期或拒绝或不按成交状态签订合同的，按有关规定进行严肃处理。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（二）竞争性磋商文件、供应商的响应文件及澄清文件等，均为签订采购合同的依据。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方正仿宋_GBK" w:cs="Times New Roman"/>
          <w:kern w:val="0"/>
          <w:szCs w:val="28"/>
          <w:highlight w:val="none"/>
        </w:rPr>
      </w:pPr>
      <w:r>
        <w:rPr>
          <w:rFonts w:hint="default" w:ascii="Times New Roman" w:hAnsi="Times New Roman" w:eastAsia="方正仿宋_GBK" w:cs="Times New Roman"/>
          <w:kern w:val="0"/>
          <w:szCs w:val="28"/>
          <w:highlight w:val="none"/>
        </w:rPr>
        <w:t xml:space="preserve">（三）合同生效条款由供需双方约定，法律、行政法规规定应当办理批准、登记等手续后生效的合同，依照其规定。 </w:t>
      </w:r>
    </w:p>
    <w:p>
      <w:pPr>
        <w:pStyle w:val="13"/>
        <w:numPr>
          <w:ilvl w:val="0"/>
          <w:numId w:val="0"/>
        </w:numPr>
        <w:spacing w:beforeLines="50" w:afterLines="50"/>
        <w:ind w:leftChars="0"/>
        <w:jc w:val="center"/>
        <w:outlineLvl w:val="0"/>
        <w:rPr>
          <w:rFonts w:eastAsia="方正小标宋简体"/>
          <w:color w:val="auto"/>
          <w:sz w:val="44"/>
          <w:szCs w:val="22"/>
          <w:highlight w:val="none"/>
        </w:rPr>
      </w:pPr>
      <w:bookmarkStart w:id="740" w:name="_Toc32194"/>
      <w:bookmarkStart w:id="741" w:name="_Toc349562392"/>
      <w:bookmarkStart w:id="742" w:name="_Toc384905081"/>
      <w:bookmarkStart w:id="743" w:name="_Toc384905319"/>
      <w:bookmarkStart w:id="744" w:name="_Toc409189639"/>
      <w:bookmarkStart w:id="745" w:name="_Toc384905082"/>
      <w:r>
        <w:rPr>
          <w:rFonts w:hint="eastAsia"/>
          <w:color w:val="auto"/>
          <w:highlight w:val="none"/>
        </w:rPr>
        <w:br w:type="page"/>
      </w:r>
      <w:bookmarkEnd w:id="740"/>
      <w:bookmarkEnd w:id="741"/>
      <w:bookmarkEnd w:id="742"/>
      <w:bookmarkEnd w:id="743"/>
      <w:bookmarkEnd w:id="744"/>
      <w:bookmarkEnd w:id="745"/>
      <w:bookmarkStart w:id="746" w:name="_Toc48837332"/>
      <w:bookmarkStart w:id="747" w:name="_Toc31518"/>
      <w:bookmarkStart w:id="748" w:name="_Toc10604"/>
      <w:bookmarkStart w:id="749" w:name="_Toc15701"/>
      <w:bookmarkStart w:id="750" w:name="_Toc1222"/>
      <w:bookmarkStart w:id="751" w:name="_Toc16475"/>
      <w:bookmarkStart w:id="752" w:name="_Toc62"/>
      <w:bookmarkStart w:id="753" w:name="_Toc27745"/>
      <w:bookmarkStart w:id="754" w:name="_Toc1397"/>
      <w:bookmarkStart w:id="755" w:name="_Toc2784"/>
      <w:bookmarkStart w:id="756" w:name="_Toc18341"/>
      <w:bookmarkStart w:id="757" w:name="_Toc6389"/>
      <w:bookmarkStart w:id="758" w:name="_Toc1418"/>
      <w:bookmarkStart w:id="759" w:name="_Toc14671"/>
      <w:bookmarkStart w:id="760" w:name="_Toc22502"/>
      <w:bookmarkStart w:id="761" w:name="_Toc14959"/>
      <w:bookmarkStart w:id="762" w:name="_Toc21704"/>
      <w:bookmarkStart w:id="763" w:name="_Toc29176"/>
      <w:bookmarkStart w:id="764" w:name="_Toc12406"/>
      <w:bookmarkStart w:id="765" w:name="_Toc10685"/>
      <w:bookmarkStart w:id="766" w:name="_Toc7981"/>
      <w:bookmarkStart w:id="767" w:name="_Toc24340"/>
      <w:bookmarkStart w:id="768" w:name="_Toc11597"/>
      <w:bookmarkStart w:id="769" w:name="_Toc3297"/>
      <w:bookmarkStart w:id="770" w:name="_Toc11222"/>
      <w:bookmarkStart w:id="771" w:name="_Toc9038"/>
      <w:bookmarkStart w:id="772" w:name="_Toc26489"/>
      <w:r>
        <w:rPr>
          <w:rFonts w:hint="eastAsia" w:eastAsia="方正小标宋简体" w:cs="Times New Roman"/>
          <w:color w:val="auto"/>
          <w:sz w:val="44"/>
          <w:szCs w:val="22"/>
          <w:highlight w:val="none"/>
          <w:lang w:eastAsia="zh-CN"/>
        </w:rPr>
        <w:t>第六篇</w:t>
      </w:r>
      <w:r>
        <w:rPr>
          <w:rFonts w:hint="eastAsia" w:eastAsia="方正小标宋简体" w:cs="Times New Roman"/>
          <w:color w:val="auto"/>
          <w:sz w:val="44"/>
          <w:szCs w:val="22"/>
          <w:highlight w:val="none"/>
          <w:lang w:val="en-US" w:eastAsia="zh-CN"/>
        </w:rPr>
        <w:t xml:space="preserve">  </w:t>
      </w:r>
      <w:r>
        <w:rPr>
          <w:rFonts w:hint="eastAsia" w:eastAsia="方正小标宋简体"/>
          <w:color w:val="auto"/>
          <w:sz w:val="44"/>
          <w:szCs w:val="22"/>
          <w:highlight w:val="none"/>
        </w:rPr>
        <w:t>响应文件编制要求</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spacing w:line="520" w:lineRule="exact"/>
        <w:jc w:val="center"/>
        <w:rPr>
          <w:rFonts w:ascii="方正仿宋_GBK" w:hAnsi="仿宋" w:eastAsia="仿宋" w:cs="仿宋"/>
          <w:color w:val="auto"/>
          <w:kern w:val="0"/>
          <w:szCs w:val="28"/>
          <w:highlight w:val="none"/>
        </w:rPr>
      </w:pPr>
      <w:bookmarkStart w:id="773" w:name="_Toc6266"/>
      <w:r>
        <w:rPr>
          <w:rFonts w:hint="eastAsia" w:ascii="方正仿宋_GBK" w:hAnsi="仿宋" w:eastAsia="仿宋" w:cs="仿宋"/>
          <w:color w:val="auto"/>
          <w:kern w:val="0"/>
          <w:szCs w:val="28"/>
          <w:highlight w:val="none"/>
        </w:rPr>
        <w:t>（请按本篇要求提供，但不限于以下格式内容）</w:t>
      </w:r>
      <w:bookmarkEnd w:id="773"/>
    </w:p>
    <w:p>
      <w:pPr>
        <w:spacing w:line="520" w:lineRule="exact"/>
        <w:ind w:firstLine="482" w:firstLineChars="200"/>
        <w:jc w:val="left"/>
        <w:rPr>
          <w:rFonts w:ascii="方正仿宋_GBK" w:hAnsi="仿宋" w:eastAsia="仿宋" w:cs="仿宋"/>
          <w:b/>
          <w:bCs/>
          <w:color w:val="auto"/>
          <w:kern w:val="0"/>
          <w:szCs w:val="28"/>
          <w:highlight w:val="none"/>
        </w:rPr>
      </w:pPr>
      <w:bookmarkStart w:id="774" w:name="_Toc14604"/>
      <w:bookmarkStart w:id="775" w:name="_Toc11294"/>
      <w:bookmarkStart w:id="776" w:name="_Toc20237"/>
      <w:bookmarkStart w:id="777" w:name="_Toc13389"/>
      <w:bookmarkStart w:id="778" w:name="_Toc8257"/>
      <w:bookmarkStart w:id="779" w:name="_Toc32499"/>
      <w:bookmarkStart w:id="780" w:name="_Toc25050"/>
      <w:bookmarkStart w:id="781" w:name="_Toc25677"/>
      <w:bookmarkStart w:id="782" w:name="_Toc27020"/>
      <w:bookmarkStart w:id="783" w:name="_Toc27313"/>
      <w:bookmarkStart w:id="784" w:name="_Toc77"/>
      <w:bookmarkStart w:id="785" w:name="_Toc30136"/>
      <w:r>
        <w:rPr>
          <w:rFonts w:hint="eastAsia" w:ascii="方正仿宋_GBK" w:hAnsi="仿宋" w:eastAsia="仿宋" w:cs="仿宋"/>
          <w:b/>
          <w:bCs/>
          <w:color w:val="auto"/>
          <w:kern w:val="0"/>
          <w:szCs w:val="28"/>
          <w:highlight w:val="none"/>
        </w:rPr>
        <w:t>一、经济部分</w:t>
      </w:r>
      <w:bookmarkEnd w:id="774"/>
      <w:bookmarkEnd w:id="775"/>
      <w:bookmarkEnd w:id="776"/>
      <w:bookmarkEnd w:id="777"/>
      <w:bookmarkEnd w:id="778"/>
      <w:bookmarkEnd w:id="779"/>
      <w:bookmarkEnd w:id="780"/>
      <w:bookmarkEnd w:id="781"/>
      <w:bookmarkEnd w:id="782"/>
      <w:bookmarkEnd w:id="783"/>
      <w:bookmarkEnd w:id="784"/>
      <w:bookmarkEnd w:id="785"/>
    </w:p>
    <w:p>
      <w:pPr>
        <w:spacing w:line="520" w:lineRule="exact"/>
        <w:ind w:firstLine="480" w:firstLineChars="200"/>
        <w:jc w:val="left"/>
        <w:rPr>
          <w:rFonts w:eastAsia="仿宋"/>
          <w:color w:val="auto"/>
          <w:highlight w:val="none"/>
        </w:rPr>
      </w:pPr>
      <w:r>
        <w:rPr>
          <w:rFonts w:hint="eastAsia" w:ascii="方正仿宋_GBK" w:hAnsi="仿宋" w:eastAsia="仿宋" w:cs="仿宋"/>
          <w:color w:val="auto"/>
          <w:kern w:val="0"/>
          <w:szCs w:val="28"/>
          <w:highlight w:val="none"/>
        </w:rPr>
        <w:t>（一）</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报价函</w:t>
      </w:r>
    </w:p>
    <w:p>
      <w:pPr>
        <w:spacing w:line="520" w:lineRule="exact"/>
        <w:ind w:firstLine="482" w:firstLineChars="200"/>
        <w:jc w:val="left"/>
        <w:rPr>
          <w:rFonts w:ascii="方正仿宋_GBK" w:hAnsi="仿宋" w:eastAsia="仿宋" w:cs="仿宋"/>
          <w:b/>
          <w:bCs/>
          <w:color w:val="auto"/>
          <w:kern w:val="0"/>
          <w:szCs w:val="28"/>
          <w:highlight w:val="none"/>
        </w:rPr>
      </w:pPr>
      <w:bookmarkStart w:id="786" w:name="_Toc969"/>
      <w:bookmarkStart w:id="787" w:name="_Toc2401"/>
      <w:bookmarkStart w:id="788" w:name="_Toc20288"/>
      <w:bookmarkStart w:id="789" w:name="_Toc8433"/>
      <w:bookmarkStart w:id="790" w:name="_Toc31702"/>
      <w:bookmarkStart w:id="791" w:name="_Toc18828"/>
      <w:bookmarkStart w:id="792" w:name="_Toc23423"/>
      <w:bookmarkStart w:id="793" w:name="_Toc22325"/>
      <w:bookmarkStart w:id="794" w:name="_Toc6158"/>
      <w:bookmarkStart w:id="795" w:name="_Toc19046"/>
      <w:bookmarkStart w:id="796" w:name="_Toc20689"/>
      <w:bookmarkStart w:id="797" w:name="_Toc24945"/>
      <w:r>
        <w:rPr>
          <w:rFonts w:hint="eastAsia" w:ascii="方正仿宋_GBK" w:hAnsi="仿宋" w:eastAsia="仿宋" w:cs="仿宋"/>
          <w:b/>
          <w:bCs/>
          <w:color w:val="auto"/>
          <w:kern w:val="0"/>
          <w:szCs w:val="28"/>
          <w:highlight w:val="none"/>
        </w:rPr>
        <w:t>二、服务部分</w:t>
      </w:r>
      <w:bookmarkEnd w:id="786"/>
      <w:bookmarkEnd w:id="787"/>
      <w:bookmarkEnd w:id="788"/>
      <w:bookmarkEnd w:id="789"/>
      <w:bookmarkEnd w:id="790"/>
      <w:bookmarkEnd w:id="791"/>
      <w:bookmarkEnd w:id="792"/>
      <w:bookmarkEnd w:id="793"/>
      <w:bookmarkEnd w:id="794"/>
      <w:bookmarkEnd w:id="795"/>
      <w:bookmarkEnd w:id="796"/>
      <w:bookmarkEnd w:id="797"/>
    </w:p>
    <w:p>
      <w:pPr>
        <w:spacing w:line="520" w:lineRule="exact"/>
        <w:ind w:firstLine="480" w:firstLineChars="200"/>
        <w:jc w:val="left"/>
        <w:rPr>
          <w:rFonts w:ascii="方正仿宋_GBK" w:hAnsi="仿宋" w:eastAsia="仿宋" w:cs="仿宋"/>
          <w:color w:val="auto"/>
          <w:kern w:val="0"/>
          <w:szCs w:val="28"/>
          <w:highlight w:val="none"/>
        </w:rPr>
      </w:pPr>
      <w:bookmarkStart w:id="798" w:name="_Toc1765"/>
      <w:bookmarkStart w:id="799" w:name="_Toc30337"/>
      <w:bookmarkStart w:id="800" w:name="_Toc14173"/>
      <w:bookmarkStart w:id="801" w:name="_Toc25754"/>
      <w:bookmarkStart w:id="802" w:name="_Toc29524"/>
      <w:bookmarkStart w:id="803" w:name="_Toc13997"/>
      <w:bookmarkStart w:id="804" w:name="_Toc30039"/>
      <w:bookmarkStart w:id="805" w:name="_Toc21499"/>
      <w:bookmarkStart w:id="806" w:name="_Toc28516"/>
      <w:bookmarkStart w:id="807" w:name="_Toc16158"/>
      <w:bookmarkStart w:id="808" w:name="_Toc15365"/>
      <w:bookmarkStart w:id="809" w:name="_Toc20631"/>
      <w:r>
        <w:rPr>
          <w:rFonts w:hint="eastAsia" w:ascii="方正仿宋_GBK" w:hAnsi="仿宋" w:eastAsia="仿宋" w:cs="仿宋"/>
          <w:color w:val="auto"/>
          <w:kern w:val="0"/>
          <w:szCs w:val="28"/>
          <w:highlight w:val="none"/>
        </w:rPr>
        <w:t>（一）服务响应差异表</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文件第二篇所需方案或证明材料（如果有）</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文件第四篇评审标准“</w:t>
      </w:r>
      <w:r>
        <w:rPr>
          <w:rFonts w:hint="eastAsia" w:ascii="方正仿宋_GBK" w:hAnsi="仿宋" w:eastAsia="仿宋" w:cs="仿宋"/>
          <w:color w:val="auto"/>
          <w:kern w:val="0"/>
          <w:szCs w:val="28"/>
          <w:highlight w:val="none"/>
          <w:lang w:eastAsia="zh-CN"/>
        </w:rPr>
        <w:t>技术</w:t>
      </w:r>
      <w:r>
        <w:rPr>
          <w:rFonts w:hint="eastAsia" w:ascii="方正仿宋_GBK" w:hAnsi="仿宋" w:eastAsia="仿宋" w:cs="仿宋"/>
          <w:color w:val="auto"/>
          <w:kern w:val="0"/>
          <w:szCs w:val="28"/>
          <w:highlight w:val="none"/>
        </w:rPr>
        <w:t>部分”所要求的方案或证明材料</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文件提供的服务文件</w:t>
      </w:r>
    </w:p>
    <w:p>
      <w:pPr>
        <w:spacing w:line="520" w:lineRule="exact"/>
        <w:ind w:firstLine="482" w:firstLineChars="200"/>
        <w:jc w:val="left"/>
        <w:rPr>
          <w:rFonts w:ascii="方正仿宋_GBK" w:hAnsi="仿宋" w:eastAsia="仿宋" w:cs="仿宋"/>
          <w:b/>
          <w:bCs/>
          <w:color w:val="auto"/>
          <w:kern w:val="0"/>
          <w:szCs w:val="28"/>
          <w:highlight w:val="none"/>
        </w:rPr>
      </w:pPr>
      <w:r>
        <w:rPr>
          <w:rFonts w:hint="eastAsia" w:ascii="方正仿宋_GBK" w:hAnsi="仿宋" w:eastAsia="仿宋" w:cs="仿宋"/>
          <w:b/>
          <w:bCs/>
          <w:color w:val="auto"/>
          <w:kern w:val="0"/>
          <w:szCs w:val="28"/>
          <w:highlight w:val="none"/>
        </w:rPr>
        <w:t>三、商务部分</w:t>
      </w:r>
      <w:bookmarkEnd w:id="798"/>
      <w:bookmarkEnd w:id="799"/>
      <w:bookmarkEnd w:id="800"/>
      <w:bookmarkEnd w:id="801"/>
      <w:bookmarkEnd w:id="802"/>
      <w:bookmarkEnd w:id="803"/>
      <w:bookmarkEnd w:id="804"/>
      <w:bookmarkEnd w:id="805"/>
      <w:bookmarkEnd w:id="806"/>
      <w:bookmarkEnd w:id="807"/>
      <w:bookmarkEnd w:id="808"/>
      <w:bookmarkEnd w:id="809"/>
    </w:p>
    <w:p>
      <w:pPr>
        <w:spacing w:line="520" w:lineRule="exact"/>
        <w:ind w:firstLine="480" w:firstLineChars="200"/>
        <w:jc w:val="left"/>
        <w:rPr>
          <w:rFonts w:ascii="方正仿宋_GBK" w:hAnsi="仿宋" w:eastAsia="仿宋" w:cs="仿宋"/>
          <w:color w:val="auto"/>
          <w:kern w:val="0"/>
          <w:szCs w:val="28"/>
          <w:highlight w:val="none"/>
        </w:rPr>
      </w:pPr>
      <w:bookmarkStart w:id="810" w:name="_Toc12483"/>
      <w:bookmarkStart w:id="811" w:name="_Toc26230"/>
      <w:bookmarkStart w:id="812" w:name="_Toc20217"/>
      <w:bookmarkStart w:id="813" w:name="_Toc30182"/>
      <w:bookmarkStart w:id="814" w:name="_Toc12818"/>
      <w:bookmarkStart w:id="815" w:name="_Toc2821"/>
      <w:bookmarkStart w:id="816" w:name="_Toc28208"/>
      <w:bookmarkStart w:id="817" w:name="_Toc29922"/>
      <w:bookmarkStart w:id="818" w:name="_Toc15693"/>
      <w:bookmarkStart w:id="819" w:name="_Toc17364"/>
      <w:bookmarkStart w:id="820" w:name="_Toc30328"/>
      <w:bookmarkStart w:id="821" w:name="_Toc29770"/>
      <w:r>
        <w:rPr>
          <w:rFonts w:hint="eastAsia" w:ascii="方正仿宋_GBK" w:hAnsi="仿宋" w:eastAsia="仿宋" w:cs="仿宋"/>
          <w:color w:val="auto"/>
          <w:kern w:val="0"/>
          <w:szCs w:val="28"/>
          <w:highlight w:val="none"/>
        </w:rPr>
        <w:t>（一）商务响应差异表</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文件第三篇所需证明材料（如果有）</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文件第四篇评审标准“商务部分”所要求的证明材料</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文件提供的商务文件</w:t>
      </w:r>
    </w:p>
    <w:bookmarkEnd w:id="810"/>
    <w:bookmarkEnd w:id="811"/>
    <w:bookmarkEnd w:id="812"/>
    <w:bookmarkEnd w:id="813"/>
    <w:bookmarkEnd w:id="814"/>
    <w:bookmarkEnd w:id="815"/>
    <w:bookmarkEnd w:id="816"/>
    <w:bookmarkEnd w:id="817"/>
    <w:bookmarkEnd w:id="818"/>
    <w:bookmarkEnd w:id="819"/>
    <w:bookmarkEnd w:id="820"/>
    <w:bookmarkEnd w:id="821"/>
    <w:p>
      <w:pPr>
        <w:spacing w:line="520" w:lineRule="exact"/>
        <w:ind w:firstLine="482" w:firstLineChars="200"/>
        <w:jc w:val="left"/>
        <w:rPr>
          <w:rFonts w:ascii="方正仿宋_GBK" w:hAnsi="仿宋" w:eastAsia="仿宋" w:cs="仿宋"/>
          <w:b/>
          <w:bCs/>
          <w:color w:val="auto"/>
          <w:kern w:val="0"/>
          <w:szCs w:val="28"/>
          <w:highlight w:val="none"/>
        </w:rPr>
      </w:pPr>
      <w:bookmarkStart w:id="822" w:name="_Toc13708"/>
      <w:bookmarkStart w:id="823" w:name="_Toc3091"/>
      <w:bookmarkStart w:id="824" w:name="_Toc17752"/>
      <w:bookmarkStart w:id="825" w:name="_Toc29479"/>
      <w:bookmarkStart w:id="826" w:name="_Toc12300"/>
      <w:bookmarkStart w:id="827" w:name="_Toc16187"/>
      <w:bookmarkStart w:id="828" w:name="_Toc28176"/>
      <w:bookmarkStart w:id="829" w:name="_Toc1848"/>
      <w:bookmarkStart w:id="830" w:name="_Toc16026"/>
      <w:bookmarkStart w:id="831" w:name="_Toc18716"/>
      <w:bookmarkStart w:id="832" w:name="_Toc27590"/>
      <w:bookmarkStart w:id="833" w:name="_Toc27529"/>
      <w:r>
        <w:rPr>
          <w:rFonts w:hint="eastAsia" w:ascii="方正仿宋_GBK" w:hAnsi="仿宋" w:eastAsia="仿宋" w:cs="仿宋"/>
          <w:b/>
          <w:bCs/>
          <w:color w:val="auto"/>
          <w:kern w:val="0"/>
          <w:szCs w:val="28"/>
          <w:highlight w:val="none"/>
          <w:lang w:eastAsia="zh-CN"/>
        </w:rPr>
        <w:t>四</w:t>
      </w:r>
      <w:r>
        <w:rPr>
          <w:rFonts w:hint="eastAsia" w:ascii="方正仿宋_GBK" w:hAnsi="仿宋" w:eastAsia="仿宋" w:cs="仿宋"/>
          <w:b/>
          <w:bCs/>
          <w:color w:val="auto"/>
          <w:kern w:val="0"/>
          <w:szCs w:val="28"/>
          <w:highlight w:val="none"/>
        </w:rPr>
        <w:t>、资格</w:t>
      </w:r>
      <w:bookmarkEnd w:id="822"/>
      <w:r>
        <w:rPr>
          <w:rFonts w:hint="eastAsia" w:ascii="方正仿宋_GBK" w:hAnsi="仿宋" w:eastAsia="仿宋" w:cs="仿宋"/>
          <w:b/>
          <w:bCs/>
          <w:color w:val="auto"/>
          <w:kern w:val="0"/>
          <w:szCs w:val="28"/>
          <w:highlight w:val="none"/>
        </w:rPr>
        <w:t>文件</w:t>
      </w:r>
      <w:bookmarkEnd w:id="823"/>
      <w:bookmarkEnd w:id="824"/>
      <w:bookmarkEnd w:id="825"/>
      <w:bookmarkEnd w:id="826"/>
      <w:bookmarkEnd w:id="827"/>
      <w:bookmarkEnd w:id="828"/>
      <w:bookmarkEnd w:id="829"/>
      <w:bookmarkEnd w:id="830"/>
      <w:bookmarkEnd w:id="831"/>
      <w:bookmarkEnd w:id="832"/>
      <w:bookmarkEnd w:id="833"/>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（一）法人营业执照（副本）或事业单位法人证书（副本）或个体工商户营业执照或有效的自然人身份证明或社会团体法人登记证书复印件</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（二）法定代表人身份证明书（格式）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（三）法定代表人授权委托书（格式）</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（四）基本资格条件承诺函（格式）</w:t>
      </w:r>
    </w:p>
    <w:p>
      <w:pPr>
        <w:spacing w:line="520" w:lineRule="exact"/>
        <w:ind w:firstLine="480" w:firstLineChars="200"/>
        <w:jc w:val="left"/>
        <w:rPr>
          <w:rFonts w:hint="eastAsia" w:ascii="方正仿宋_GBK" w:hAnsi="仿宋" w:eastAsia="方正仿宋_GBK" w:cs="仿宋"/>
          <w:color w:val="auto"/>
          <w:kern w:val="0"/>
          <w:szCs w:val="28"/>
          <w:highlight w:val="none"/>
          <w:lang w:val="en-US" w:eastAsia="zh-CN"/>
        </w:rPr>
      </w:pPr>
      <w:r>
        <w:rPr>
          <w:rFonts w:hint="eastAsia" w:ascii="方正仿宋_GBK" w:hAnsi="仿宋" w:eastAsia="方正仿宋_GBK" w:cs="仿宋"/>
          <w:color w:val="auto"/>
          <w:kern w:val="0"/>
          <w:szCs w:val="28"/>
          <w:highlight w:val="none"/>
          <w:lang w:val="en-US" w:eastAsia="zh-CN"/>
        </w:rPr>
        <w:t>（</w:t>
      </w:r>
      <w:r>
        <w:rPr>
          <w:rFonts w:hint="eastAsia" w:ascii="方正仿宋_GBK" w:hAnsi="仿宋" w:cs="仿宋"/>
          <w:color w:val="auto"/>
          <w:kern w:val="0"/>
          <w:szCs w:val="28"/>
          <w:highlight w:val="none"/>
          <w:lang w:val="en-US" w:eastAsia="zh-CN"/>
        </w:rPr>
        <w:t>五</w:t>
      </w:r>
      <w:r>
        <w:rPr>
          <w:rFonts w:hint="eastAsia" w:ascii="方正仿宋_GBK" w:hAnsi="仿宋" w:eastAsia="方正仿宋_GBK" w:cs="仿宋"/>
          <w:color w:val="auto"/>
          <w:kern w:val="0"/>
          <w:szCs w:val="28"/>
          <w:highlight w:val="none"/>
          <w:lang w:val="en-US" w:eastAsia="zh-CN"/>
        </w:rPr>
        <w:t>）特定资格条件证书或证明文件：</w:t>
      </w:r>
      <w:r>
        <w:rPr>
          <w:rFonts w:hint="eastAsia" w:ascii="方正仿宋_GBK" w:hAnsi="仿宋" w:cs="仿宋"/>
          <w:color w:val="auto"/>
          <w:kern w:val="0"/>
          <w:szCs w:val="28"/>
          <w:highlight w:val="none"/>
          <w:lang w:val="en-US" w:eastAsia="zh-CN"/>
        </w:rPr>
        <w:t>无</w:t>
      </w:r>
    </w:p>
    <w:p>
      <w:pPr>
        <w:spacing w:line="520" w:lineRule="exact"/>
        <w:ind w:firstLine="480" w:firstLineChars="200"/>
        <w:jc w:val="left"/>
        <w:rPr>
          <w:color w:val="auto"/>
          <w:highlight w:val="none"/>
        </w:rPr>
      </w:pPr>
      <w:r>
        <w:rPr>
          <w:rFonts w:hint="eastAsia" w:ascii="方正仿宋_GBK" w:hAnsi="仿宋" w:eastAsia="仿宋" w:cs="仿宋"/>
          <w:color w:val="auto"/>
          <w:kern w:val="0"/>
          <w:szCs w:val="28"/>
          <w:highlight w:val="none"/>
        </w:rPr>
        <w:t>说明：供应商按“多证合一”登记制度办理营业执照的，税务登记证（副本）和社会保险登记证以供应商所提供的法人营业执照（副本）复印件为准。</w:t>
      </w:r>
    </w:p>
    <w:p>
      <w:pPr>
        <w:spacing w:line="520" w:lineRule="exact"/>
        <w:ind w:firstLine="482" w:firstLineChars="200"/>
        <w:jc w:val="left"/>
        <w:rPr>
          <w:rFonts w:hint="eastAsia" w:ascii="方正仿宋_GBK" w:hAnsi="仿宋" w:eastAsia="仿宋" w:cs="仿宋"/>
          <w:b/>
          <w:bCs/>
          <w:color w:val="auto"/>
          <w:kern w:val="0"/>
          <w:szCs w:val="28"/>
          <w:highlight w:val="none"/>
          <w:lang w:eastAsia="zh-CN"/>
        </w:rPr>
      </w:pPr>
      <w:bookmarkStart w:id="834" w:name="_Hlk84951735"/>
      <w:r>
        <w:rPr>
          <w:rFonts w:hint="eastAsia" w:ascii="方正仿宋_GBK" w:hAnsi="仿宋" w:eastAsia="仿宋" w:cs="仿宋"/>
          <w:b/>
          <w:bCs/>
          <w:color w:val="auto"/>
          <w:kern w:val="0"/>
          <w:szCs w:val="28"/>
          <w:highlight w:val="none"/>
          <w:lang w:eastAsia="zh-CN"/>
        </w:rPr>
        <w:t>五</w:t>
      </w:r>
      <w:r>
        <w:rPr>
          <w:rFonts w:hint="eastAsia" w:ascii="方正仿宋_GBK" w:hAnsi="仿宋" w:eastAsia="仿宋" w:cs="仿宋"/>
          <w:b/>
          <w:bCs/>
          <w:color w:val="auto"/>
          <w:kern w:val="0"/>
          <w:szCs w:val="28"/>
          <w:highlight w:val="none"/>
        </w:rPr>
        <w:t>、</w:t>
      </w:r>
      <w:r>
        <w:rPr>
          <w:rFonts w:hint="eastAsia" w:ascii="方正仿宋_GBK" w:hAnsi="仿宋" w:eastAsia="仿宋" w:cs="仿宋"/>
          <w:b/>
          <w:bCs/>
          <w:color w:val="auto"/>
          <w:kern w:val="0"/>
          <w:szCs w:val="28"/>
          <w:highlight w:val="none"/>
          <w:lang w:eastAsia="zh-CN"/>
        </w:rPr>
        <w:t>其他资料</w:t>
      </w:r>
    </w:p>
    <w:bookmarkEnd w:id="834"/>
    <w:p>
      <w:pPr>
        <w:spacing w:line="520" w:lineRule="exact"/>
        <w:ind w:firstLine="480" w:firstLineChars="200"/>
        <w:jc w:val="left"/>
        <w:rPr>
          <w:rFonts w:hint="default" w:ascii="方正仿宋_GBK" w:hAnsi="仿宋" w:eastAsia="仿宋" w:cs="仿宋"/>
          <w:color w:val="auto"/>
          <w:kern w:val="0"/>
          <w:szCs w:val="28"/>
          <w:highlight w:val="none"/>
        </w:rPr>
      </w:pPr>
      <w:r>
        <w:rPr>
          <w:rFonts w:hint="default" w:ascii="方正仿宋_GBK" w:hAnsi="仿宋" w:eastAsia="仿宋" w:cs="仿宋"/>
          <w:color w:val="auto"/>
          <w:kern w:val="0"/>
          <w:szCs w:val="28"/>
          <w:highlight w:val="none"/>
        </w:rPr>
        <w:t>（</w:t>
      </w:r>
      <w:r>
        <w:rPr>
          <w:rFonts w:hint="default" w:ascii="方正仿宋_GBK" w:hAnsi="仿宋" w:eastAsia="仿宋" w:cs="仿宋"/>
          <w:color w:val="auto"/>
          <w:kern w:val="0"/>
          <w:szCs w:val="28"/>
          <w:highlight w:val="none"/>
          <w:lang w:val="en-US" w:eastAsia="zh-CN"/>
        </w:rPr>
        <w:t>一</w:t>
      </w:r>
      <w:r>
        <w:rPr>
          <w:rFonts w:hint="default" w:ascii="方正仿宋_GBK" w:hAnsi="仿宋" w:eastAsia="仿宋" w:cs="仿宋"/>
          <w:color w:val="auto"/>
          <w:kern w:val="0"/>
          <w:szCs w:val="28"/>
          <w:highlight w:val="none"/>
        </w:rPr>
        <w:t>）其他与项目有关的资料</w:t>
      </w:r>
    </w:p>
    <w:p>
      <w:pPr>
        <w:spacing w:line="520" w:lineRule="exact"/>
        <w:ind w:firstLine="480" w:firstLineChars="200"/>
        <w:jc w:val="left"/>
        <w:outlineLvl w:val="1"/>
        <w:rPr>
          <w:rFonts w:ascii="方正仿宋_GBK" w:hAnsi="仿宋" w:eastAsia="仿宋" w:cs="仿宋"/>
          <w:b/>
          <w:bCs/>
          <w:color w:val="auto"/>
          <w:kern w:val="0"/>
          <w:szCs w:val="28"/>
          <w:highlight w:val="none"/>
        </w:rPr>
      </w:pPr>
      <w:r>
        <w:rPr>
          <w:rFonts w:ascii="宋体" w:hAnsi="宋体" w:eastAsia="仿宋"/>
          <w:bCs/>
          <w:color w:val="auto"/>
          <w:highlight w:val="none"/>
        </w:rPr>
        <w:br w:type="page"/>
      </w:r>
      <w:bookmarkStart w:id="835" w:name="_Toc20949"/>
      <w:bookmarkStart w:id="836" w:name="_Toc18058"/>
      <w:bookmarkStart w:id="837" w:name="_Toc12741"/>
      <w:bookmarkStart w:id="838" w:name="_Toc30105"/>
      <w:bookmarkStart w:id="839" w:name="_Toc10208"/>
      <w:bookmarkStart w:id="840" w:name="_Toc28175"/>
      <w:bookmarkStart w:id="841" w:name="_Toc15068"/>
      <w:bookmarkStart w:id="842" w:name="_Toc20852"/>
      <w:bookmarkStart w:id="843" w:name="_Toc30683"/>
      <w:bookmarkStart w:id="844" w:name="_Toc16090"/>
      <w:bookmarkStart w:id="845" w:name="_Toc5087"/>
      <w:bookmarkStart w:id="846" w:name="_Toc28394"/>
      <w:bookmarkStart w:id="847" w:name="_Toc25301"/>
      <w:bookmarkStart w:id="848" w:name="_Toc18483"/>
      <w:bookmarkStart w:id="849" w:name="_Toc21792"/>
      <w:bookmarkStart w:id="850" w:name="_Toc19023"/>
      <w:bookmarkStart w:id="851" w:name="_Toc17660"/>
      <w:bookmarkStart w:id="852" w:name="_Toc48837333"/>
      <w:bookmarkStart w:id="853" w:name="_Toc29008"/>
      <w:bookmarkStart w:id="854" w:name="_Toc21912"/>
      <w:bookmarkStart w:id="855" w:name="_Toc10090"/>
      <w:bookmarkStart w:id="856" w:name="_Toc20934"/>
      <w:bookmarkStart w:id="857" w:name="_Toc2635"/>
      <w:bookmarkStart w:id="858" w:name="_Toc23265"/>
      <w:bookmarkStart w:id="859" w:name="_Toc3491"/>
      <w:bookmarkStart w:id="860" w:name="_Toc25481"/>
      <w:bookmarkStart w:id="861" w:name="_Toc15293"/>
      <w:r>
        <w:rPr>
          <w:rFonts w:hint="eastAsia" w:ascii="方正仿宋_GBK" w:hAnsi="仿宋" w:eastAsia="仿宋" w:cs="仿宋"/>
          <w:b/>
          <w:bCs/>
          <w:color w:val="auto"/>
          <w:kern w:val="0"/>
          <w:szCs w:val="28"/>
          <w:highlight w:val="none"/>
        </w:rPr>
        <w:t>一、经济部分</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spacing w:line="520" w:lineRule="exact"/>
        <w:ind w:firstLine="480" w:firstLineChars="200"/>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（一）磋商报价函</w:t>
      </w:r>
    </w:p>
    <w:p>
      <w:pPr>
        <w:spacing w:beforeLines="100" w:afterLines="100" w:line="520" w:lineRule="exact"/>
        <w:jc w:val="center"/>
        <w:rPr>
          <w:rFonts w:ascii="方正仿宋_GBK" w:hAnsi="仿宋" w:eastAsia="仿宋" w:cs="仿宋"/>
          <w:b/>
          <w:bCs/>
          <w:color w:val="auto"/>
          <w:kern w:val="0"/>
          <w:sz w:val="28"/>
          <w:szCs w:val="32"/>
          <w:highlight w:val="none"/>
        </w:rPr>
      </w:pPr>
      <w:r>
        <w:rPr>
          <w:rFonts w:hint="eastAsia" w:ascii="方正仿宋_GBK" w:hAnsi="仿宋" w:eastAsia="仿宋" w:cs="仿宋"/>
          <w:b/>
          <w:bCs/>
          <w:color w:val="auto"/>
          <w:kern w:val="0"/>
          <w:sz w:val="28"/>
          <w:szCs w:val="32"/>
          <w:highlight w:val="none"/>
          <w:lang w:eastAsia="zh-CN"/>
        </w:rPr>
        <w:t>竞争性磋商</w:t>
      </w:r>
      <w:r>
        <w:rPr>
          <w:rFonts w:hint="eastAsia" w:ascii="方正仿宋_GBK" w:hAnsi="仿宋" w:eastAsia="仿宋" w:cs="仿宋"/>
          <w:b/>
          <w:bCs/>
          <w:color w:val="auto"/>
          <w:kern w:val="0"/>
          <w:sz w:val="28"/>
          <w:szCs w:val="32"/>
          <w:highlight w:val="none"/>
        </w:rPr>
        <w:t>报价函</w:t>
      </w:r>
    </w:p>
    <w:p>
      <w:pPr>
        <w:spacing w:line="520" w:lineRule="exact"/>
        <w:ind w:firstLine="480" w:firstLineChars="200"/>
        <w:jc w:val="left"/>
        <w:rPr>
          <w:rFonts w:hint="eastAsia" w:ascii="方正仿宋_GBK" w:hAnsi="仿宋" w:eastAsia="仿宋" w:cs="仿宋"/>
          <w:color w:val="auto"/>
          <w:kern w:val="0"/>
          <w:szCs w:val="28"/>
          <w:highlight w:val="none"/>
          <w:u w:val="single"/>
          <w:lang w:val="en-US" w:eastAsia="zh-CN"/>
        </w:rPr>
      </w:pPr>
      <w:r>
        <w:rPr>
          <w:rFonts w:hint="eastAsia" w:ascii="方正仿宋_GBK" w:hAnsi="仿宋" w:eastAsia="仿宋" w:cs="仿宋"/>
          <w:color w:val="auto"/>
          <w:kern w:val="0"/>
          <w:szCs w:val="28"/>
          <w:highlight w:val="none"/>
        </w:rPr>
        <w:t>（采购</w:t>
      </w:r>
      <w:r>
        <w:rPr>
          <w:rFonts w:hint="eastAsia" w:ascii="方正仿宋_GBK" w:hAnsi="仿宋" w:eastAsia="仿宋" w:cs="仿宋"/>
          <w:color w:val="auto"/>
          <w:kern w:val="0"/>
          <w:szCs w:val="28"/>
          <w:highlight w:val="none"/>
          <w:lang w:eastAsia="zh-CN"/>
        </w:rPr>
        <w:t>人</w:t>
      </w:r>
      <w:r>
        <w:rPr>
          <w:rFonts w:hint="eastAsia" w:ascii="方正仿宋_GBK" w:hAnsi="仿宋" w:eastAsia="仿宋" w:cs="仿宋"/>
          <w:color w:val="auto"/>
          <w:kern w:val="0"/>
          <w:szCs w:val="28"/>
          <w:highlight w:val="none"/>
        </w:rPr>
        <w:t>名称）：</w:t>
      </w:r>
      <w:r>
        <w:rPr>
          <w:rFonts w:hint="eastAsia" w:ascii="方正仿宋_GBK" w:hAnsi="仿宋" w:eastAsia="仿宋" w:cs="仿宋"/>
          <w:color w:val="auto"/>
          <w:kern w:val="0"/>
          <w:szCs w:val="28"/>
          <w:highlight w:val="none"/>
          <w:u w:val="single"/>
          <w:lang w:val="en-US" w:eastAsia="zh-CN"/>
        </w:rPr>
        <w:t xml:space="preserve">                 </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我方收到</w:t>
      </w:r>
      <w:r>
        <w:rPr>
          <w:rFonts w:hint="eastAsia" w:ascii="方正仿宋_GBK" w:hAnsi="仿宋" w:eastAsia="仿宋" w:cs="仿宋"/>
          <w:color w:val="auto"/>
          <w:kern w:val="0"/>
          <w:szCs w:val="28"/>
          <w:highlight w:val="none"/>
          <w:lang w:val="en-US" w:eastAsia="zh-CN"/>
        </w:rPr>
        <w:t xml:space="preserve"> </w:t>
      </w:r>
      <w:r>
        <w:rPr>
          <w:rFonts w:hint="eastAsia" w:ascii="方正仿宋_GBK" w:hAnsi="仿宋" w:eastAsia="仿宋" w:cs="仿宋"/>
          <w:color w:val="auto"/>
          <w:kern w:val="0"/>
          <w:szCs w:val="28"/>
          <w:highlight w:val="none"/>
          <w:u w:val="single"/>
          <w:lang w:val="en-US" w:eastAsia="zh-CN"/>
        </w:rPr>
        <w:t xml:space="preserve">                 </w:t>
      </w:r>
      <w:r>
        <w:rPr>
          <w:rFonts w:hint="eastAsia" w:ascii="方正仿宋_GBK" w:hAnsi="仿宋" w:eastAsia="仿宋" w:cs="仿宋"/>
          <w:color w:val="auto"/>
          <w:kern w:val="0"/>
          <w:szCs w:val="28"/>
          <w:highlight w:val="none"/>
        </w:rPr>
        <w:t>（磋商项目名称）的</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文件，经详细研究，决定参加该磋商项目（项目号）的竞争磋商。</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愿意按照</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文件中的一切要求，提供本项目的技术服务，报价为人民币大写：</w:t>
      </w:r>
      <w:r>
        <w:rPr>
          <w:rFonts w:hint="eastAsia" w:ascii="方正仿宋_GBK" w:hAnsi="仿宋" w:eastAsia="仿宋" w:cs="仿宋"/>
          <w:color w:val="auto"/>
          <w:kern w:val="0"/>
          <w:szCs w:val="28"/>
          <w:highlight w:val="none"/>
          <w:u w:val="single"/>
          <w:lang w:val="en-US" w:eastAsia="zh-CN"/>
        </w:rPr>
        <w:t xml:space="preserve">          </w:t>
      </w:r>
      <w:r>
        <w:rPr>
          <w:rFonts w:hint="eastAsia" w:ascii="方正仿宋_GBK" w:hAnsi="仿宋" w:eastAsia="仿宋" w:cs="仿宋"/>
          <w:color w:val="auto"/>
          <w:kern w:val="0"/>
          <w:szCs w:val="28"/>
          <w:highlight w:val="none"/>
        </w:rPr>
        <w:t>元整，人民币小写</w:t>
      </w:r>
      <w:r>
        <w:rPr>
          <w:rFonts w:hint="eastAsia" w:ascii="方正仿宋_GBK" w:hAnsi="仿宋" w:eastAsia="仿宋" w:cs="仿宋"/>
          <w:color w:val="auto"/>
          <w:kern w:val="0"/>
          <w:szCs w:val="28"/>
          <w:highlight w:val="none"/>
          <w:u w:val="single"/>
          <w:lang w:val="en-US" w:eastAsia="zh-CN"/>
        </w:rPr>
        <w:t xml:space="preserve">         </w:t>
      </w:r>
      <w:r>
        <w:rPr>
          <w:rFonts w:hint="eastAsia" w:ascii="方正仿宋_GBK" w:hAnsi="仿宋" w:eastAsia="仿宋" w:cs="仿宋"/>
          <w:color w:val="auto"/>
          <w:kern w:val="0"/>
          <w:szCs w:val="28"/>
          <w:highlight w:val="none"/>
        </w:rPr>
        <w:t>元。</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2、我方现提交的响应文件为：响应文件正本</w:t>
      </w:r>
      <w:r>
        <w:rPr>
          <w:rFonts w:hint="eastAsia" w:ascii="方正仿宋_GBK" w:hAnsi="仿宋" w:eastAsia="仿宋" w:cs="仿宋"/>
          <w:color w:val="auto"/>
          <w:kern w:val="0"/>
          <w:szCs w:val="28"/>
          <w:highlight w:val="none"/>
          <w:u w:val="single"/>
          <w:lang w:val="en-US" w:eastAsia="zh-CN"/>
        </w:rPr>
        <w:t xml:space="preserve">   </w:t>
      </w:r>
      <w:r>
        <w:rPr>
          <w:rFonts w:hint="eastAsia" w:ascii="方正仿宋_GBK" w:hAnsi="仿宋" w:eastAsia="仿宋" w:cs="仿宋"/>
          <w:color w:val="auto"/>
          <w:kern w:val="0"/>
          <w:szCs w:val="28"/>
          <w:highlight w:val="none"/>
        </w:rPr>
        <w:t>份，副本</w:t>
      </w:r>
      <w:r>
        <w:rPr>
          <w:rFonts w:hint="eastAsia" w:ascii="方正仿宋_GBK" w:hAnsi="仿宋" w:eastAsia="仿宋" w:cs="仿宋"/>
          <w:color w:val="auto"/>
          <w:kern w:val="0"/>
          <w:szCs w:val="28"/>
          <w:highlight w:val="none"/>
          <w:u w:val="single"/>
          <w:lang w:val="en-US" w:eastAsia="zh-CN"/>
        </w:rPr>
        <w:t xml:space="preserve">   </w:t>
      </w:r>
      <w:r>
        <w:rPr>
          <w:rFonts w:hint="eastAsia" w:ascii="方正仿宋_GBK" w:hAnsi="仿宋" w:eastAsia="仿宋" w:cs="仿宋"/>
          <w:color w:val="auto"/>
          <w:kern w:val="0"/>
          <w:szCs w:val="28"/>
          <w:highlight w:val="none"/>
        </w:rPr>
        <w:t>份。</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3、我方承诺：本次磋商的有效期为</w:t>
      </w:r>
      <w:r>
        <w:rPr>
          <w:rFonts w:hint="eastAsia" w:ascii="方正仿宋_GBK" w:hAnsi="仿宋" w:eastAsia="仿宋" w:cs="仿宋"/>
          <w:color w:val="auto"/>
          <w:kern w:val="0"/>
          <w:szCs w:val="28"/>
          <w:highlight w:val="none"/>
          <w:u w:val="single"/>
        </w:rPr>
        <w:t>90</w:t>
      </w:r>
      <w:r>
        <w:rPr>
          <w:rFonts w:hint="eastAsia" w:ascii="方正仿宋_GBK" w:hAnsi="仿宋" w:eastAsia="仿宋" w:cs="仿宋"/>
          <w:color w:val="auto"/>
          <w:kern w:val="0"/>
          <w:szCs w:val="28"/>
          <w:highlight w:val="none"/>
        </w:rPr>
        <w:t>天。</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4、我方完全理解和接受贵方</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文件的一切规定和要求及磋商评审办法。</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5、在整个</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过程中，我方若有违规行为，接受按照《中华人民共和国政府采购法》和《</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文件》之规定给予惩罚。</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6、我方若成为成交供应商，将按照最终磋商结果签订合同，并且严格履行合同义务。本承诺函将成为合同不可分割的一部分，与合同具有同等的法律效力。</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7、我方理解，最低报价不是成交的唯一条件。</w:t>
      </w:r>
    </w:p>
    <w:p>
      <w:pPr>
        <w:spacing w:line="520" w:lineRule="exact"/>
        <w:ind w:firstLine="480"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8.我方未为采购项目提供整体设计、规范编制或者项目管理、监理、检测等服务。</w:t>
      </w:r>
    </w:p>
    <w:p>
      <w:pPr>
        <w:tabs>
          <w:tab w:val="left" w:pos="6300"/>
        </w:tabs>
        <w:snapToGrid w:val="0"/>
        <w:spacing w:line="312" w:lineRule="auto"/>
        <w:ind w:firstLine="570"/>
        <w:rPr>
          <w:rFonts w:ascii="方正仿宋_GBK" w:hAnsi="宋体"/>
          <w:color w:val="auto"/>
          <w:szCs w:val="24"/>
          <w:highlight w:val="none"/>
        </w:rPr>
      </w:pPr>
      <w:r>
        <w:rPr>
          <w:rFonts w:hint="eastAsia" w:ascii="方正仿宋_GBK" w:hAnsi="宋体"/>
          <w:color w:val="auto"/>
          <w:szCs w:val="24"/>
          <w:highlight w:val="none"/>
        </w:rPr>
        <w:t>供应商（公章）或自然人签署：</w:t>
      </w:r>
    </w:p>
    <w:p>
      <w:pPr>
        <w:tabs>
          <w:tab w:val="left" w:pos="6300"/>
        </w:tabs>
        <w:snapToGrid w:val="0"/>
        <w:spacing w:line="312" w:lineRule="auto"/>
        <w:ind w:firstLine="570"/>
        <w:rPr>
          <w:rFonts w:ascii="方正仿宋_GBK" w:hAnsi="宋体"/>
          <w:color w:val="auto"/>
          <w:szCs w:val="24"/>
          <w:highlight w:val="none"/>
        </w:rPr>
      </w:pPr>
      <w:r>
        <w:rPr>
          <w:rFonts w:hint="eastAsia" w:ascii="方正仿宋_GBK" w:hAnsi="宋体"/>
          <w:color w:val="auto"/>
          <w:szCs w:val="24"/>
          <w:highlight w:val="none"/>
        </w:rPr>
        <w:t xml:space="preserve">地址：  </w:t>
      </w:r>
    </w:p>
    <w:p>
      <w:pPr>
        <w:tabs>
          <w:tab w:val="left" w:pos="6300"/>
        </w:tabs>
        <w:snapToGrid w:val="0"/>
        <w:spacing w:line="312" w:lineRule="auto"/>
        <w:ind w:firstLine="570"/>
        <w:rPr>
          <w:rFonts w:ascii="方正仿宋_GBK" w:hAnsi="宋体"/>
          <w:color w:val="auto"/>
          <w:szCs w:val="24"/>
          <w:highlight w:val="none"/>
        </w:rPr>
      </w:pPr>
      <w:r>
        <w:rPr>
          <w:rFonts w:hint="eastAsia" w:ascii="方正仿宋_GBK" w:hAnsi="宋体"/>
          <w:color w:val="auto"/>
          <w:szCs w:val="24"/>
          <w:highlight w:val="none"/>
        </w:rPr>
        <w:t>电话：                                             传真：</w:t>
      </w:r>
    </w:p>
    <w:p>
      <w:pPr>
        <w:tabs>
          <w:tab w:val="left" w:pos="6300"/>
        </w:tabs>
        <w:snapToGrid w:val="0"/>
        <w:spacing w:line="312" w:lineRule="auto"/>
        <w:ind w:firstLine="570"/>
        <w:rPr>
          <w:rFonts w:ascii="方正仿宋_GBK" w:hAnsi="宋体"/>
          <w:color w:val="auto"/>
          <w:szCs w:val="24"/>
          <w:highlight w:val="none"/>
        </w:rPr>
      </w:pPr>
      <w:r>
        <w:rPr>
          <w:rFonts w:hint="eastAsia" w:ascii="方正仿宋_GBK" w:hAnsi="宋体"/>
          <w:color w:val="auto"/>
          <w:szCs w:val="24"/>
          <w:highlight w:val="none"/>
        </w:rPr>
        <w:t>网址：                                             邮编：</w:t>
      </w:r>
    </w:p>
    <w:p>
      <w:pPr>
        <w:tabs>
          <w:tab w:val="left" w:pos="6300"/>
        </w:tabs>
        <w:snapToGrid w:val="0"/>
        <w:spacing w:line="312" w:lineRule="auto"/>
        <w:ind w:firstLine="570"/>
        <w:rPr>
          <w:rFonts w:ascii="方正仿宋_GBK" w:hAnsi="宋体"/>
          <w:color w:val="auto"/>
          <w:szCs w:val="24"/>
          <w:highlight w:val="none"/>
        </w:rPr>
      </w:pPr>
      <w:r>
        <w:rPr>
          <w:rFonts w:hint="eastAsia" w:ascii="方正仿宋_GBK" w:hAnsi="宋体"/>
          <w:color w:val="auto"/>
          <w:szCs w:val="24"/>
          <w:highlight w:val="none"/>
        </w:rPr>
        <w:t>联系人：</w:t>
      </w:r>
    </w:p>
    <w:p>
      <w:pPr>
        <w:spacing w:line="520" w:lineRule="exact"/>
        <w:ind w:firstLine="480" w:firstLineChars="200"/>
        <w:jc w:val="left"/>
        <w:rPr>
          <w:rFonts w:ascii="方正仿宋_GBK" w:hAnsi="仿宋" w:eastAsia="仿宋" w:cs="仿宋"/>
          <w:color w:val="auto"/>
          <w:kern w:val="0"/>
          <w:szCs w:val="28"/>
          <w:highlight w:val="none"/>
        </w:rPr>
      </w:pPr>
    </w:p>
    <w:p>
      <w:pPr>
        <w:spacing w:line="520" w:lineRule="exact"/>
        <w:ind w:firstLine="5640" w:firstLineChars="2350"/>
        <w:jc w:val="left"/>
        <w:rPr>
          <w:rFonts w:ascii="方正仿宋_GBK" w:cs="仿宋"/>
          <w:color w:val="auto"/>
          <w:kern w:val="0"/>
          <w:szCs w:val="28"/>
          <w:highlight w:val="none"/>
        </w:rPr>
      </w:pPr>
      <w:r>
        <w:rPr>
          <w:rFonts w:hint="eastAsia" w:ascii="方正仿宋_GBK" w:hAnsi="仿宋" w:eastAsia="仿宋" w:cs="仿宋"/>
          <w:color w:val="auto"/>
          <w:kern w:val="0"/>
          <w:szCs w:val="28"/>
          <w:highlight w:val="none"/>
        </w:rPr>
        <w:t>年   月   日</w:t>
      </w:r>
      <w:bookmarkStart w:id="862" w:name="_Hlk84671901"/>
      <w:bookmarkEnd w:id="862"/>
      <w:bookmarkStart w:id="863" w:name="_Toc161727399"/>
      <w:bookmarkStart w:id="864" w:name="_Hlk84946564"/>
    </w:p>
    <w:bookmarkEnd w:id="863"/>
    <w:bookmarkEnd w:id="864"/>
    <w:p>
      <w:pPr>
        <w:spacing w:line="520" w:lineRule="exact"/>
        <w:jc w:val="left"/>
        <w:rPr>
          <w:rFonts w:eastAsia="仿宋"/>
          <w:color w:val="auto"/>
          <w:highlight w:val="none"/>
        </w:rPr>
      </w:pPr>
      <w:bookmarkStart w:id="865" w:name="_Toc31684"/>
      <w:bookmarkStart w:id="866" w:name="_Toc22054"/>
      <w:bookmarkStart w:id="867" w:name="_Toc27814"/>
      <w:bookmarkStart w:id="868" w:name="_Toc14882"/>
      <w:bookmarkStart w:id="869" w:name="_Toc19026"/>
      <w:bookmarkStart w:id="870" w:name="_Toc23128"/>
      <w:bookmarkStart w:id="871" w:name="_Toc11931"/>
      <w:bookmarkStart w:id="872" w:name="_Toc20747"/>
      <w:bookmarkStart w:id="873" w:name="_Toc19211"/>
      <w:bookmarkStart w:id="874" w:name="_Toc48837334"/>
      <w:bookmarkStart w:id="875" w:name="_Toc29192"/>
      <w:bookmarkStart w:id="876" w:name="_Toc20381"/>
      <w:bookmarkStart w:id="877" w:name="_Toc5052"/>
      <w:bookmarkStart w:id="878" w:name="_Toc8363"/>
      <w:bookmarkStart w:id="879" w:name="_Toc12729"/>
      <w:bookmarkStart w:id="880" w:name="_Toc3620"/>
      <w:bookmarkStart w:id="881" w:name="_Toc24441"/>
      <w:bookmarkStart w:id="882" w:name="_Toc17120"/>
      <w:bookmarkStart w:id="883" w:name="_Toc9141"/>
      <w:bookmarkStart w:id="884" w:name="_Toc25703"/>
      <w:bookmarkStart w:id="885" w:name="_Toc16499"/>
      <w:bookmarkStart w:id="886" w:name="_Toc26656"/>
      <w:bookmarkStart w:id="887" w:name="_Toc166"/>
      <w:bookmarkStart w:id="888" w:name="_Toc161727398"/>
    </w:p>
    <w:p>
      <w:pPr>
        <w:pStyle w:val="13"/>
        <w:spacing w:line="520" w:lineRule="exact"/>
        <w:jc w:val="both"/>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w:t>
      </w:r>
    </w:p>
    <w:p>
      <w:pPr>
        <w:pStyle w:val="13"/>
        <w:spacing w:line="520" w:lineRule="exact"/>
        <w:jc w:val="both"/>
        <w:rPr>
          <w:rFonts w:hint="eastAsia" w:ascii="仿宋" w:hAnsi="仿宋" w:eastAsia="仿宋"/>
          <w:color w:val="auto"/>
          <w:sz w:val="24"/>
          <w:szCs w:val="28"/>
          <w:highlight w:val="none"/>
        </w:rPr>
      </w:pPr>
    </w:p>
    <w:p>
      <w:pPr>
        <w:pageBreakBefore w:val="0"/>
        <w:tabs>
          <w:tab w:val="left" w:pos="2895"/>
        </w:tabs>
        <w:kinsoku/>
        <w:wordWrap/>
        <w:overflowPunct/>
        <w:topLinePunct w:val="0"/>
        <w:autoSpaceDE/>
        <w:autoSpaceDN/>
        <w:bidi w:val="0"/>
        <w:spacing w:line="400" w:lineRule="exact"/>
        <w:ind w:left="0" w:right="0" w:firstLine="480" w:firstLineChars="20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（二）明细报价表</w:t>
      </w:r>
    </w:p>
    <w:p>
      <w:pPr>
        <w:pageBreakBefore w:val="0"/>
        <w:kinsoku/>
        <w:wordWrap/>
        <w:overflowPunct/>
        <w:topLinePunct w:val="0"/>
        <w:autoSpaceDE/>
        <w:autoSpaceDN/>
        <w:bidi w:val="0"/>
        <w:spacing w:line="400" w:lineRule="exact"/>
        <w:ind w:left="0" w:right="0" w:firstLine="480" w:firstLineChars="20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项目号：                              </w:t>
      </w:r>
    </w:p>
    <w:p>
      <w:pPr>
        <w:pageBreakBefore w:val="0"/>
        <w:kinsoku/>
        <w:wordWrap/>
        <w:overflowPunct/>
        <w:topLinePunct w:val="0"/>
        <w:autoSpaceDE/>
        <w:autoSpaceDN/>
        <w:bidi w:val="0"/>
        <w:spacing w:line="400" w:lineRule="exact"/>
        <w:ind w:left="0" w:right="0" w:firstLine="480" w:firstLineChars="200"/>
        <w:textAlignment w:val="auto"/>
        <w:outlineLvl w:val="9"/>
        <w:rPr>
          <w:rFonts w:hint="default" w:ascii="Times New Roman" w:hAnsi="Times New Roman" w:eastAsia="方正仿宋_GBK" w:cs="Times New Roman"/>
          <w:sz w:val="24"/>
          <w:szCs w:val="24"/>
          <w:highlight w:val="none"/>
          <w:u w:val="single"/>
        </w:rPr>
      </w:pPr>
      <w:r>
        <w:rPr>
          <w:rFonts w:hint="default" w:ascii="Times New Roman" w:hAnsi="Times New Roman" w:eastAsia="方正仿宋_GBK" w:cs="Times New Roman"/>
          <w:sz w:val="24"/>
          <w:szCs w:val="24"/>
          <w:highlight w:val="none"/>
        </w:rPr>
        <w:t xml:space="preserve">磋商项目名称：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39"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b/>
                <w:sz w:val="21"/>
                <w:szCs w:val="21"/>
                <w:highlight w:val="none"/>
              </w:rPr>
            </w:pPr>
            <w:r>
              <w:rPr>
                <w:rFonts w:hint="default" w:ascii="Times New Roman" w:hAnsi="Times New Roman" w:eastAsia="方正仿宋_GBK" w:cs="Times New Roman"/>
                <w:b/>
                <w:sz w:val="21"/>
                <w:szCs w:val="21"/>
                <w:highlight w:val="none"/>
              </w:rPr>
              <w:t>序号</w:t>
            </w:r>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b/>
                <w:sz w:val="21"/>
                <w:szCs w:val="21"/>
                <w:highlight w:val="none"/>
              </w:rPr>
            </w:pPr>
            <w:r>
              <w:rPr>
                <w:rFonts w:hint="default" w:ascii="Times New Roman" w:hAnsi="Times New Roman" w:eastAsia="方正仿宋_GBK" w:cs="Times New Roman"/>
                <w:b/>
                <w:sz w:val="21"/>
                <w:szCs w:val="21"/>
                <w:highlight w:val="none"/>
              </w:rPr>
              <w:t>名称</w:t>
            </w:r>
          </w:p>
        </w:tc>
        <w:tc>
          <w:tcPr>
            <w:tcW w:w="312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b/>
                <w:sz w:val="21"/>
                <w:szCs w:val="21"/>
                <w:highlight w:val="none"/>
              </w:rPr>
            </w:pPr>
            <w:r>
              <w:rPr>
                <w:rFonts w:hint="default" w:ascii="Times New Roman" w:hAnsi="Times New Roman" w:eastAsia="方正仿宋_GBK" w:cs="Times New Roman"/>
                <w:b/>
                <w:sz w:val="21"/>
                <w:szCs w:val="21"/>
                <w:highlight w:val="none"/>
              </w:rPr>
              <w:t>相关信息</w:t>
            </w: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b/>
                <w:sz w:val="21"/>
                <w:szCs w:val="21"/>
                <w:highlight w:val="none"/>
              </w:rPr>
            </w:pPr>
            <w:r>
              <w:rPr>
                <w:rFonts w:hint="default" w:ascii="Times New Roman" w:hAnsi="Times New Roman" w:eastAsia="方正仿宋_GBK" w:cs="Times New Roman"/>
                <w:b/>
                <w:sz w:val="21"/>
                <w:szCs w:val="21"/>
                <w:highlight w:val="none"/>
              </w:rPr>
              <w:t>数量</w:t>
            </w: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b/>
                <w:sz w:val="21"/>
                <w:szCs w:val="21"/>
                <w:highlight w:val="none"/>
              </w:rPr>
            </w:pPr>
            <w:r>
              <w:rPr>
                <w:rFonts w:hint="default" w:ascii="Times New Roman" w:hAnsi="Times New Roman" w:eastAsia="方正仿宋_GBK" w:cs="Times New Roman"/>
                <w:b/>
                <w:sz w:val="21"/>
                <w:szCs w:val="21"/>
                <w:highlight w:val="none"/>
              </w:rPr>
              <w:t>单价</w:t>
            </w: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b/>
                <w:sz w:val="21"/>
                <w:szCs w:val="21"/>
                <w:highlight w:val="none"/>
              </w:rPr>
            </w:pPr>
            <w:r>
              <w:rPr>
                <w:rFonts w:hint="default" w:ascii="Times New Roman" w:hAnsi="Times New Roman" w:eastAsia="方正仿宋_GBK" w:cs="Times New Roman"/>
                <w:b/>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89" w:name="_Toc28966"/>
            <w:r>
              <w:rPr>
                <w:rFonts w:hint="default" w:ascii="Times New Roman" w:hAnsi="Times New Roman" w:eastAsia="方正仿宋_GBK" w:cs="Times New Roman"/>
                <w:sz w:val="21"/>
                <w:szCs w:val="21"/>
                <w:highlight w:val="none"/>
              </w:rPr>
              <w:t>1</w:t>
            </w:r>
            <w:bookmarkEnd w:id="889"/>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0" w:name="_Toc5792"/>
            <w:r>
              <w:rPr>
                <w:rFonts w:hint="default" w:ascii="Times New Roman" w:hAnsi="Times New Roman" w:eastAsia="方正仿宋_GBK" w:cs="Times New Roman"/>
                <w:sz w:val="21"/>
                <w:szCs w:val="21"/>
                <w:highlight w:val="none"/>
              </w:rPr>
              <w:t>2</w:t>
            </w:r>
            <w:bookmarkEnd w:id="890"/>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1" w:name="_Toc19031"/>
            <w:r>
              <w:rPr>
                <w:rFonts w:hint="default" w:ascii="Times New Roman" w:hAnsi="Times New Roman" w:eastAsia="方正仿宋_GBK" w:cs="Times New Roman"/>
                <w:sz w:val="21"/>
                <w:szCs w:val="21"/>
                <w:highlight w:val="none"/>
              </w:rPr>
              <w:t>3</w:t>
            </w:r>
            <w:bookmarkEnd w:id="891"/>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2" w:name="_Toc30577"/>
            <w:r>
              <w:rPr>
                <w:rFonts w:hint="default" w:ascii="Times New Roman" w:hAnsi="Times New Roman" w:eastAsia="方正仿宋_GBK" w:cs="Times New Roman"/>
                <w:sz w:val="21"/>
                <w:szCs w:val="21"/>
                <w:highlight w:val="none"/>
              </w:rPr>
              <w:t>4</w:t>
            </w:r>
            <w:bookmarkEnd w:id="892"/>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3" w:name="_Toc14675"/>
            <w:r>
              <w:rPr>
                <w:rFonts w:hint="default" w:ascii="Times New Roman" w:hAnsi="Times New Roman" w:eastAsia="方正仿宋_GBK" w:cs="Times New Roman"/>
                <w:sz w:val="21"/>
                <w:szCs w:val="21"/>
                <w:highlight w:val="none"/>
              </w:rPr>
              <w:t>5</w:t>
            </w:r>
            <w:bookmarkEnd w:id="893"/>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4" w:name="_Toc29258"/>
            <w:r>
              <w:rPr>
                <w:rFonts w:hint="default" w:ascii="Times New Roman" w:hAnsi="Times New Roman" w:eastAsia="方正仿宋_GBK" w:cs="Times New Roman"/>
                <w:sz w:val="21"/>
                <w:szCs w:val="21"/>
                <w:highlight w:val="none"/>
              </w:rPr>
              <w:t>6</w:t>
            </w:r>
            <w:bookmarkEnd w:id="894"/>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5" w:name="_Toc31998"/>
            <w:r>
              <w:rPr>
                <w:rFonts w:hint="default" w:ascii="Times New Roman" w:hAnsi="Times New Roman" w:eastAsia="方正仿宋_GBK" w:cs="Times New Roman"/>
                <w:sz w:val="21"/>
                <w:szCs w:val="21"/>
                <w:highlight w:val="none"/>
              </w:rPr>
              <w:t>7</w:t>
            </w:r>
            <w:bookmarkEnd w:id="895"/>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6" w:name="_Toc26571"/>
            <w:r>
              <w:rPr>
                <w:rFonts w:hint="default" w:ascii="Times New Roman" w:hAnsi="Times New Roman" w:eastAsia="方正仿宋_GBK" w:cs="Times New Roman"/>
                <w:sz w:val="21"/>
                <w:szCs w:val="21"/>
                <w:highlight w:val="none"/>
              </w:rPr>
              <w:t>8</w:t>
            </w:r>
            <w:bookmarkEnd w:id="896"/>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7" w:name="_Toc17300"/>
            <w:r>
              <w:rPr>
                <w:rFonts w:hint="default" w:ascii="Times New Roman" w:hAnsi="Times New Roman" w:eastAsia="方正仿宋_GBK" w:cs="Times New Roman"/>
                <w:sz w:val="21"/>
                <w:szCs w:val="21"/>
                <w:highlight w:val="none"/>
              </w:rPr>
              <w:t>9</w:t>
            </w:r>
            <w:bookmarkEnd w:id="897"/>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8" w:name="_Toc25817"/>
            <w:r>
              <w:rPr>
                <w:rFonts w:hint="default" w:ascii="Times New Roman" w:hAnsi="Times New Roman" w:eastAsia="方正仿宋_GBK" w:cs="Times New Roman"/>
                <w:sz w:val="21"/>
                <w:szCs w:val="21"/>
                <w:highlight w:val="none"/>
              </w:rPr>
              <w:t>10</w:t>
            </w:r>
            <w:bookmarkEnd w:id="898"/>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899" w:name="_Toc1951"/>
            <w:r>
              <w:rPr>
                <w:rFonts w:hint="default" w:ascii="Times New Roman" w:hAnsi="Times New Roman" w:eastAsia="方正仿宋_GBK" w:cs="Times New Roman"/>
                <w:sz w:val="21"/>
                <w:szCs w:val="21"/>
                <w:highlight w:val="none"/>
              </w:rPr>
              <w:t>11</w:t>
            </w:r>
            <w:bookmarkEnd w:id="899"/>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3127"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c>
          <w:tcPr>
            <w:tcW w:w="1235"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noWrap w:val="0"/>
            <w:vAlign w:val="center"/>
          </w:tcPr>
          <w:p>
            <w:pPr>
              <w:pStyle w:val="8"/>
              <w:keepNext w:val="0"/>
              <w:keepLines w:val="0"/>
              <w:pageBreakBefore w:val="0"/>
              <w:suppressLineNumbers w:val="0"/>
              <w:kinsoku/>
              <w:wordWrap/>
              <w:overflowPunct/>
              <w:topLinePunct w:val="0"/>
              <w:autoSpaceDE/>
              <w:autoSpaceDN/>
              <w:bidi w:val="0"/>
              <w:spacing w:before="0" w:beforeAutospacing="0" w:after="0" w:afterAutospacing="0" w:line="240" w:lineRule="atLeast"/>
              <w:ind w:left="0" w:right="0"/>
              <w:jc w:val="center"/>
              <w:textAlignment w:val="auto"/>
              <w:outlineLvl w:val="9"/>
              <w:rPr>
                <w:rFonts w:hint="default" w:ascii="Times New Roman" w:hAnsi="Times New Roman" w:eastAsia="方正仿宋_GBK" w:cs="Times New Roman"/>
                <w:sz w:val="21"/>
                <w:szCs w:val="21"/>
                <w:highlight w:val="none"/>
              </w:rPr>
            </w:pPr>
            <w:bookmarkStart w:id="900" w:name="_Toc24126"/>
            <w:r>
              <w:rPr>
                <w:rFonts w:hint="default" w:ascii="Times New Roman" w:hAnsi="Times New Roman" w:eastAsia="方正仿宋_GBK" w:cs="Times New Roman"/>
                <w:sz w:val="21"/>
                <w:szCs w:val="21"/>
                <w:highlight w:val="none"/>
              </w:rPr>
              <w:t>12</w:t>
            </w:r>
            <w:bookmarkEnd w:id="900"/>
          </w:p>
        </w:tc>
        <w:tc>
          <w:tcPr>
            <w:tcW w:w="1557"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ind w:left="0" w:right="0"/>
              <w:jc w:val="center"/>
              <w:textAlignment w:val="auto"/>
              <w:outlineLvl w:val="9"/>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rPr>
              <w:t>总计</w:t>
            </w:r>
          </w:p>
        </w:tc>
        <w:tc>
          <w:tcPr>
            <w:tcW w:w="6832" w:type="dxa"/>
            <w:gridSpan w:val="4"/>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ind w:left="0" w:right="0"/>
              <w:textAlignment w:val="auto"/>
              <w:outlineLvl w:val="9"/>
              <w:rPr>
                <w:rFonts w:hint="default" w:ascii="Times New Roman" w:hAnsi="Times New Roman" w:eastAsia="方正仿宋_GBK" w:cs="Times New Roman"/>
                <w:sz w:val="21"/>
                <w:szCs w:val="21"/>
                <w:highlight w:val="none"/>
              </w:rPr>
            </w:pPr>
          </w:p>
        </w:tc>
      </w:tr>
    </w:tbl>
    <w:p>
      <w:pPr>
        <w:pageBreakBefore w:val="0"/>
        <w:kinsoku/>
        <w:wordWrap/>
        <w:overflowPunct/>
        <w:topLinePunct w:val="0"/>
        <w:autoSpaceDE/>
        <w:autoSpaceDN/>
        <w:bidi w:val="0"/>
        <w:snapToGrid w:val="0"/>
        <w:spacing w:line="500" w:lineRule="exact"/>
        <w:ind w:left="0" w:right="0" w:firstLine="480" w:firstLineChars="200"/>
        <w:textAlignment w:val="auto"/>
        <w:outlineLvl w:val="9"/>
        <w:rPr>
          <w:rFonts w:hint="default" w:ascii="Times New Roman" w:hAnsi="Times New Roman" w:eastAsia="方正仿宋_GBK" w:cs="Times New Roman"/>
          <w:sz w:val="24"/>
          <w:szCs w:val="28"/>
          <w:highlight w:val="none"/>
        </w:rPr>
      </w:pPr>
    </w:p>
    <w:p>
      <w:pPr>
        <w:pageBreakBefore w:val="0"/>
        <w:kinsoku/>
        <w:wordWrap/>
        <w:overflowPunct/>
        <w:topLinePunct w:val="0"/>
        <w:autoSpaceDE/>
        <w:autoSpaceDN/>
        <w:bidi w:val="0"/>
        <w:snapToGrid w:val="0"/>
        <w:spacing w:line="500" w:lineRule="exact"/>
        <w:ind w:left="0" w:right="0" w:firstLine="480" w:firstLineChars="200"/>
        <w:textAlignment w:val="auto"/>
        <w:outlineLvl w:val="9"/>
        <w:rPr>
          <w:rFonts w:hint="default" w:ascii="Times New Roman" w:hAnsi="Times New Roman" w:eastAsia="方正仿宋_GBK" w:cs="Times New Roman"/>
          <w:sz w:val="24"/>
          <w:szCs w:val="28"/>
          <w:highlight w:val="none"/>
        </w:rPr>
      </w:pPr>
      <w:r>
        <w:rPr>
          <w:rFonts w:hint="default" w:ascii="Times New Roman" w:hAnsi="Times New Roman" w:eastAsia="方正仿宋_GBK" w:cs="Times New Roman"/>
          <w:sz w:val="24"/>
          <w:szCs w:val="28"/>
          <w:highlight w:val="none"/>
        </w:rPr>
        <w:t>注：1.供应商应完整填写本表。</w:t>
      </w:r>
    </w:p>
    <w:p>
      <w:pPr>
        <w:pageBreakBefore w:val="0"/>
        <w:kinsoku/>
        <w:wordWrap/>
        <w:overflowPunct/>
        <w:topLinePunct w:val="0"/>
        <w:autoSpaceDE/>
        <w:autoSpaceDN/>
        <w:bidi w:val="0"/>
        <w:snapToGrid w:val="0"/>
        <w:spacing w:line="500" w:lineRule="exact"/>
        <w:ind w:left="0" w:right="0"/>
        <w:textAlignment w:val="auto"/>
        <w:outlineLvl w:val="9"/>
        <w:rPr>
          <w:rFonts w:hint="default" w:ascii="Times New Roman" w:hAnsi="Times New Roman" w:eastAsia="方正仿宋_GBK" w:cs="Times New Roman"/>
          <w:sz w:val="24"/>
          <w:szCs w:val="28"/>
          <w:highlight w:val="none"/>
        </w:rPr>
      </w:pPr>
      <w:r>
        <w:rPr>
          <w:rFonts w:hint="default" w:ascii="Times New Roman" w:hAnsi="Times New Roman" w:eastAsia="方正仿宋_GBK" w:cs="Times New Roman"/>
          <w:sz w:val="24"/>
          <w:szCs w:val="28"/>
          <w:highlight w:val="none"/>
        </w:rPr>
        <w:t xml:space="preserve">        2.该表可扩展</w:t>
      </w:r>
      <w:bookmarkStart w:id="901" w:name="OLE_LINK2"/>
      <w:bookmarkStart w:id="902" w:name="OLE_LINK1"/>
      <w:r>
        <w:rPr>
          <w:rFonts w:hint="default" w:ascii="Times New Roman" w:hAnsi="Times New Roman" w:eastAsia="方正仿宋_GBK" w:cs="Times New Roman"/>
          <w:sz w:val="24"/>
          <w:szCs w:val="28"/>
          <w:highlight w:val="none"/>
        </w:rPr>
        <w:t>。</w:t>
      </w:r>
      <w:bookmarkEnd w:id="901"/>
      <w:bookmarkEnd w:id="902"/>
    </w:p>
    <w:p>
      <w:pPr>
        <w:pStyle w:val="17"/>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eastAsia="方正仿宋_GBK" w:cs="Times New Roman"/>
          <w:sz w:val="24"/>
          <w:szCs w:val="24"/>
          <w:highlight w:val="none"/>
        </w:rPr>
      </w:pPr>
    </w:p>
    <w:p>
      <w:pPr>
        <w:pStyle w:val="17"/>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            </w:t>
      </w:r>
    </w:p>
    <w:p>
      <w:pPr>
        <w:pageBreakBefore w:val="0"/>
        <w:kinsoku/>
        <w:wordWrap/>
        <w:overflowPunct/>
        <w:topLinePunct w:val="0"/>
        <w:autoSpaceDE/>
        <w:autoSpaceDN/>
        <w:bidi w:val="0"/>
        <w:ind w:left="0" w:right="0"/>
        <w:textAlignment w:val="auto"/>
        <w:outlineLvl w:val="9"/>
        <w:rPr>
          <w:rFonts w:hint="default" w:ascii="Times New Roman" w:hAnsi="Times New Roman" w:cs="Times New Roman"/>
          <w:highlight w:val="none"/>
        </w:rPr>
      </w:pPr>
    </w:p>
    <w:p>
      <w:pPr>
        <w:pageBreakBefore w:val="0"/>
        <w:kinsoku/>
        <w:wordWrap/>
        <w:overflowPunct/>
        <w:topLinePunct w:val="0"/>
        <w:autoSpaceDE/>
        <w:autoSpaceDN/>
        <w:bidi w:val="0"/>
        <w:ind w:left="0" w:right="0"/>
        <w:textAlignment w:val="auto"/>
        <w:outlineLvl w:val="9"/>
        <w:rPr>
          <w:rFonts w:hint="default" w:ascii="Times New Roman" w:hAnsi="Times New Roman" w:cs="Times New Roman"/>
          <w:highlight w:val="none"/>
        </w:rPr>
      </w:pPr>
    </w:p>
    <w:p>
      <w:pPr>
        <w:pageBreakBefore w:val="0"/>
        <w:kinsoku/>
        <w:wordWrap/>
        <w:overflowPunct/>
        <w:topLinePunct w:val="0"/>
        <w:autoSpaceDE/>
        <w:autoSpaceDN/>
        <w:bidi w:val="0"/>
        <w:spacing w:line="360" w:lineRule="auto"/>
        <w:ind w:left="0" w:right="0"/>
        <w:textAlignment w:val="auto"/>
        <w:outlineLvl w:val="9"/>
        <w:rPr>
          <w:rFonts w:hint="default" w:ascii="Times New Roman" w:hAnsi="Times New Roman" w:cs="Times New Roman"/>
          <w:highlight w:val="none"/>
        </w:rPr>
      </w:pPr>
      <w:r>
        <w:rPr>
          <w:rFonts w:hint="default" w:ascii="Times New Roman" w:hAnsi="Times New Roman" w:eastAsia="方正仿宋_GBK" w:cs="Times New Roman"/>
          <w:sz w:val="24"/>
          <w:szCs w:val="24"/>
          <w:highlight w:val="none"/>
        </w:rPr>
        <w:t xml:space="preserve">                                             供应商名称（公章）或自然人签署：</w:t>
      </w:r>
    </w:p>
    <w:p>
      <w:pPr>
        <w:pageBreakBefore w:val="0"/>
        <w:kinsoku/>
        <w:wordWrap/>
        <w:overflowPunct/>
        <w:topLinePunct w:val="0"/>
        <w:autoSpaceDE/>
        <w:autoSpaceDN/>
        <w:bidi w:val="0"/>
        <w:spacing w:line="360" w:lineRule="auto"/>
        <w:ind w:left="0" w:right="0" w:firstLine="6480" w:firstLineChars="2700"/>
        <w:textAlignment w:val="auto"/>
        <w:outlineLvl w:val="9"/>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年     月    日</w:t>
      </w:r>
    </w:p>
    <w:p>
      <w:pPr>
        <w:pStyle w:val="13"/>
        <w:spacing w:line="520" w:lineRule="exact"/>
        <w:jc w:val="both"/>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                               </w:t>
      </w:r>
    </w:p>
    <w:p>
      <w:pPr>
        <w:pStyle w:val="13"/>
        <w:spacing w:line="520" w:lineRule="exact"/>
        <w:ind w:firstLine="480" w:firstLineChars="200"/>
        <w:jc w:val="right"/>
        <w:rPr>
          <w:rFonts w:ascii="仿宋" w:hAnsi="仿宋" w:eastAsia="仿宋"/>
          <w:color w:val="auto"/>
          <w:sz w:val="24"/>
          <w:szCs w:val="28"/>
          <w:highlight w:val="none"/>
        </w:rPr>
        <w:sectPr>
          <w:headerReference r:id="rId8" w:type="default"/>
          <w:pgSz w:w="11907" w:h="16840"/>
          <w:pgMar w:top="1134" w:right="1191" w:bottom="1134" w:left="1304" w:header="851" w:footer="992" w:gutter="0"/>
          <w:pgBorders>
            <w:top w:val="none" w:sz="0" w:space="0"/>
            <w:left w:val="none" w:sz="0" w:space="0"/>
            <w:bottom w:val="none" w:sz="0" w:space="0"/>
            <w:right w:val="none" w:sz="0" w:space="0"/>
          </w:pgBorders>
          <w:pgNumType w:fmt="decimal"/>
          <w:cols w:space="720" w:num="1"/>
          <w:docGrid w:linePitch="380" w:charSpace="-5735"/>
        </w:sectPr>
      </w:pPr>
    </w:p>
    <w:p>
      <w:pPr>
        <w:spacing w:line="520" w:lineRule="exact"/>
        <w:ind w:firstLine="438" w:firstLineChars="200"/>
        <w:jc w:val="left"/>
        <w:outlineLvl w:val="1"/>
        <w:rPr>
          <w:rFonts w:ascii="方正仿宋_GBK" w:hAnsi="仿宋" w:eastAsia="仿宋" w:cs="仿宋"/>
          <w:b/>
          <w:bCs/>
          <w:color w:val="auto"/>
          <w:kern w:val="0"/>
          <w:szCs w:val="28"/>
          <w:highlight w:val="none"/>
        </w:rPr>
      </w:pPr>
      <w:bookmarkStart w:id="903" w:name="_Toc14874"/>
      <w:bookmarkStart w:id="904" w:name="_Toc24967"/>
      <w:bookmarkStart w:id="905" w:name="_Toc2481"/>
      <w:bookmarkStart w:id="906" w:name="_Toc19311"/>
      <w:r>
        <w:rPr>
          <w:rFonts w:hint="eastAsia" w:ascii="方正仿宋_GBK" w:hAnsi="仿宋" w:eastAsia="仿宋" w:cs="仿宋"/>
          <w:b/>
          <w:bCs/>
          <w:color w:val="auto"/>
          <w:kern w:val="0"/>
          <w:szCs w:val="28"/>
          <w:highlight w:val="none"/>
        </w:rPr>
        <w:t>二、服务部分</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903"/>
      <w:bookmarkEnd w:id="904"/>
      <w:bookmarkEnd w:id="905"/>
      <w:bookmarkEnd w:id="906"/>
    </w:p>
    <w:p>
      <w:pPr>
        <w:spacing w:line="520" w:lineRule="exact"/>
        <w:ind w:firstLine="438" w:firstLineChars="200"/>
        <w:jc w:val="left"/>
        <w:rPr>
          <w:rFonts w:ascii="仿宋" w:hAnsi="仿宋" w:eastAsia="仿宋" w:cs="仿宋"/>
          <w:color w:val="auto"/>
          <w:szCs w:val="22"/>
          <w:highlight w:val="none"/>
        </w:rPr>
      </w:pPr>
      <w:r>
        <w:rPr>
          <w:rFonts w:hint="eastAsia" w:ascii="方正仿宋_GBK" w:hAnsi="仿宋" w:eastAsia="仿宋" w:cs="仿宋"/>
          <w:color w:val="auto"/>
          <w:kern w:val="0"/>
          <w:szCs w:val="28"/>
          <w:highlight w:val="none"/>
        </w:rPr>
        <w:t>（一）</w:t>
      </w:r>
      <w:bookmarkStart w:id="907" w:name="_Hlk84672559"/>
      <w:r>
        <w:rPr>
          <w:rFonts w:hint="eastAsia" w:ascii="仿宋" w:hAnsi="仿宋" w:eastAsia="仿宋" w:cs="仿宋"/>
          <w:color w:val="auto"/>
          <w:szCs w:val="22"/>
          <w:highlight w:val="none"/>
        </w:rPr>
        <w:t>服务响应差异表</w:t>
      </w:r>
      <w:bookmarkEnd w:id="907"/>
    </w:p>
    <w:p>
      <w:pPr>
        <w:pStyle w:val="13"/>
        <w:spacing w:line="520" w:lineRule="exact"/>
        <w:jc w:val="center"/>
        <w:rPr>
          <w:rFonts w:ascii="仿宋" w:hAnsi="仿宋" w:eastAsia="仿宋"/>
          <w:b/>
          <w:bCs/>
          <w:color w:val="auto"/>
          <w:sz w:val="28"/>
          <w:szCs w:val="28"/>
          <w:highlight w:val="none"/>
        </w:rPr>
      </w:pPr>
      <w:bookmarkStart w:id="908" w:name="_Hlk84947197"/>
      <w:r>
        <w:rPr>
          <w:rFonts w:hint="eastAsia" w:ascii="仿宋" w:hAnsi="仿宋" w:eastAsia="仿宋" w:cs="仿宋"/>
          <w:b/>
          <w:bCs/>
          <w:color w:val="auto"/>
          <w:sz w:val="28"/>
          <w:szCs w:val="28"/>
          <w:highlight w:val="none"/>
        </w:rPr>
        <w:t>服务响应差异表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 目 号：</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项目名称：</w:t>
      </w:r>
    </w:p>
    <w:tbl>
      <w:tblPr>
        <w:tblStyle w:val="24"/>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216"/>
        <w:gridCol w:w="321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序号</w:t>
            </w:r>
          </w:p>
        </w:tc>
        <w:tc>
          <w:tcPr>
            <w:tcW w:w="3216"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采购需求</w:t>
            </w:r>
          </w:p>
        </w:tc>
        <w:tc>
          <w:tcPr>
            <w:tcW w:w="3217"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响应应答</w:t>
            </w:r>
          </w:p>
        </w:tc>
        <w:tc>
          <w:tcPr>
            <w:tcW w:w="131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r>
              <w:rPr>
                <w:rFonts w:hint="eastAsia" w:ascii="仿宋" w:hAnsi="仿宋" w:eastAsia="仿宋" w:cs="仿宋"/>
                <w:color w:val="auto"/>
                <w:sz w:val="21"/>
                <w:szCs w:val="21"/>
                <w:highlight w:val="none"/>
              </w:rPr>
              <w:t>提醒：请注明具体内容以及响应文件中具体内容的位置（页码）</w:t>
            </w: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bl>
    <w:p>
      <w:pPr>
        <w:pStyle w:val="13"/>
        <w:ind w:firstLine="438"/>
        <w:rPr>
          <w:rFonts w:ascii="仿宋" w:hAnsi="仿宋" w:eastAsia="仿宋"/>
          <w:color w:val="auto"/>
          <w:sz w:val="24"/>
          <w:szCs w:val="28"/>
          <w:highlight w:val="none"/>
        </w:rPr>
      </w:pP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                  法定代表人（或法定代表人授权代表）或自然人：</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（供应商公章）</w:t>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（签署或盖章）</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 xml:space="preserve"> 年   月   日 </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1.本表即为对本项目“第二篇  </w:t>
      </w:r>
      <w:r>
        <w:rPr>
          <w:rFonts w:hint="eastAsia" w:ascii="仿宋" w:hAnsi="仿宋" w:eastAsia="仿宋"/>
          <w:color w:val="auto"/>
          <w:sz w:val="24"/>
          <w:szCs w:val="28"/>
          <w:highlight w:val="none"/>
          <w:lang w:eastAsia="zh-CN"/>
        </w:rPr>
        <w:t>采购</w:t>
      </w:r>
      <w:r>
        <w:rPr>
          <w:rFonts w:hint="eastAsia" w:ascii="仿宋" w:hAnsi="仿宋" w:eastAsia="仿宋"/>
          <w:color w:val="auto"/>
          <w:sz w:val="24"/>
          <w:szCs w:val="28"/>
          <w:highlight w:val="none"/>
        </w:rPr>
        <w:t>服务要求”中所列条款进行比较和响应；</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2.该表必须按照磋商文件要求逐条如实填写，根据响应情况在“差异说明”项填写正偏离或负偏离及原因，完全符合的填写“无差异”；</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3.该表可扩展；</w:t>
      </w:r>
    </w:p>
    <w:bookmarkEnd w:id="908"/>
    <w:p>
      <w:pPr>
        <w:pStyle w:val="13"/>
        <w:rPr>
          <w:color w:val="auto"/>
          <w:highlight w:val="none"/>
        </w:rPr>
      </w:pPr>
    </w:p>
    <w:p>
      <w:pPr>
        <w:pStyle w:val="13"/>
        <w:rPr>
          <w:color w:val="auto"/>
          <w:highlight w:val="none"/>
        </w:rPr>
      </w:pPr>
    </w:p>
    <w:p>
      <w:pPr>
        <w:pStyle w:val="13"/>
        <w:rPr>
          <w:color w:val="auto"/>
          <w:highlight w:val="none"/>
        </w:rPr>
      </w:pPr>
    </w:p>
    <w:p>
      <w:pPr>
        <w:spacing w:line="520" w:lineRule="exact"/>
        <w:ind w:firstLine="438" w:firstLineChars="200"/>
        <w:jc w:val="left"/>
        <w:rPr>
          <w:rFonts w:ascii="方正仿宋_GBK" w:hAnsi="仿宋" w:eastAsia="仿宋" w:cs="仿宋"/>
          <w:color w:val="auto"/>
          <w:kern w:val="0"/>
          <w:szCs w:val="28"/>
          <w:highlight w:val="none"/>
        </w:rPr>
      </w:pPr>
      <w:bookmarkStart w:id="909" w:name="_Toc10374"/>
      <w:bookmarkStart w:id="910" w:name="_Toc3263"/>
      <w:bookmarkStart w:id="911" w:name="_Toc6318"/>
      <w:bookmarkStart w:id="912" w:name="_Toc17866"/>
      <w:bookmarkStart w:id="913" w:name="_Toc48837335"/>
      <w:bookmarkStart w:id="914" w:name="_Toc6021"/>
      <w:bookmarkStart w:id="915" w:name="_Toc7869"/>
      <w:bookmarkStart w:id="916" w:name="_Toc18917"/>
      <w:bookmarkStart w:id="917" w:name="_Toc2927"/>
      <w:bookmarkStart w:id="918" w:name="_Toc9672"/>
      <w:bookmarkStart w:id="919" w:name="_Toc28468"/>
      <w:bookmarkStart w:id="920" w:name="_Toc32692"/>
      <w:bookmarkStart w:id="921" w:name="_Toc16645"/>
      <w:bookmarkStart w:id="922" w:name="_Toc21013"/>
      <w:bookmarkStart w:id="923" w:name="_Toc27019"/>
      <w:bookmarkStart w:id="924" w:name="_Toc8882"/>
      <w:bookmarkStart w:id="925" w:name="_Toc14898"/>
      <w:bookmarkStart w:id="926" w:name="_Toc14724"/>
      <w:bookmarkStart w:id="927" w:name="_Toc5162"/>
      <w:bookmarkStart w:id="928" w:name="_Toc31094"/>
      <w:bookmarkStart w:id="929" w:name="_Toc12560"/>
      <w:bookmarkStart w:id="930" w:name="_Toc32284"/>
      <w:bookmarkStart w:id="931" w:name="_Toc15183"/>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文件第二篇所需方案或证明材料（如果有）</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文件第四篇评审标准“服务部分”所要求的方案或证明材料</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color w:val="auto"/>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文件提供的服务文件</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outlineLvl w:val="1"/>
        <w:rPr>
          <w:rFonts w:ascii="方正仿宋_GBK" w:hAnsi="仿宋" w:eastAsia="仿宋" w:cs="仿宋"/>
          <w:b/>
          <w:bCs/>
          <w:color w:val="auto"/>
          <w:kern w:val="0"/>
          <w:szCs w:val="28"/>
          <w:highlight w:val="none"/>
        </w:rPr>
      </w:pPr>
      <w:bookmarkStart w:id="932" w:name="_Toc7024"/>
      <w:bookmarkStart w:id="933" w:name="_Toc20599"/>
      <w:bookmarkStart w:id="934" w:name="_Toc20336"/>
      <w:bookmarkStart w:id="935" w:name="_Toc29386"/>
      <w:r>
        <w:rPr>
          <w:rFonts w:hint="eastAsia" w:ascii="方正仿宋_GBK" w:hAnsi="仿宋" w:eastAsia="仿宋" w:cs="仿宋"/>
          <w:b/>
          <w:bCs/>
          <w:color w:val="auto"/>
          <w:kern w:val="0"/>
          <w:szCs w:val="28"/>
          <w:highlight w:val="none"/>
        </w:rPr>
        <w:t>三、商务部分</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13"/>
        <w:spacing w:line="520" w:lineRule="exact"/>
        <w:ind w:firstLine="318" w:firstLineChars="200"/>
        <w:rPr>
          <w:rFonts w:ascii="仿宋" w:hAnsi="仿宋" w:eastAsia="仿宋"/>
          <w:color w:val="auto"/>
          <w:sz w:val="24"/>
          <w:szCs w:val="28"/>
          <w:highlight w:val="none"/>
        </w:rPr>
      </w:pPr>
      <w:r>
        <w:rPr>
          <w:rFonts w:hint="eastAsia" w:ascii="方正仿宋_GBK" w:hAnsi="仿宋" w:eastAsia="仿宋" w:cs="仿宋"/>
          <w:color w:val="auto"/>
          <w:kern w:val="0"/>
          <w:szCs w:val="28"/>
          <w:highlight w:val="none"/>
        </w:rPr>
        <w:t>（一）</w:t>
      </w:r>
      <w:r>
        <w:rPr>
          <w:rFonts w:hint="eastAsia" w:ascii="仿宋" w:hAnsi="仿宋" w:eastAsia="仿宋"/>
          <w:color w:val="auto"/>
          <w:sz w:val="24"/>
          <w:szCs w:val="28"/>
          <w:highlight w:val="none"/>
        </w:rPr>
        <w:t>商务响应差异表</w:t>
      </w:r>
    </w:p>
    <w:p>
      <w:pPr>
        <w:pStyle w:val="13"/>
        <w:spacing w:line="520" w:lineRule="exact"/>
        <w:jc w:val="center"/>
        <w:rPr>
          <w:rFonts w:ascii="仿宋" w:hAnsi="仿宋" w:eastAsia="仿宋"/>
          <w:b/>
          <w:bCs/>
          <w:color w:val="auto"/>
          <w:sz w:val="28"/>
          <w:szCs w:val="28"/>
          <w:highlight w:val="none"/>
        </w:rPr>
      </w:pPr>
      <w:bookmarkStart w:id="936" w:name="_Hlk84947424"/>
      <w:r>
        <w:rPr>
          <w:rFonts w:hint="eastAsia" w:ascii="仿宋" w:hAnsi="仿宋" w:eastAsia="仿宋"/>
          <w:b/>
          <w:bCs/>
          <w:color w:val="auto"/>
          <w:sz w:val="28"/>
          <w:szCs w:val="28"/>
          <w:highlight w:val="none"/>
        </w:rPr>
        <w:t>商务响应差异表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 目 号：</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项目名称：</w:t>
      </w:r>
    </w:p>
    <w:tbl>
      <w:tblPr>
        <w:tblStyle w:val="24"/>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216"/>
        <w:gridCol w:w="321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序号</w:t>
            </w:r>
          </w:p>
        </w:tc>
        <w:tc>
          <w:tcPr>
            <w:tcW w:w="3216"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商务需求</w:t>
            </w:r>
          </w:p>
        </w:tc>
        <w:tc>
          <w:tcPr>
            <w:tcW w:w="3217"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商务应答</w:t>
            </w:r>
          </w:p>
        </w:tc>
        <w:tc>
          <w:tcPr>
            <w:tcW w:w="1314" w:type="dxa"/>
            <w:vAlign w:val="center"/>
          </w:tcPr>
          <w:p>
            <w:pPr>
              <w:keepNext w:val="0"/>
              <w:keepLines w:val="0"/>
              <w:suppressLineNumbers w:val="0"/>
              <w:spacing w:before="0" w:beforeAutospacing="0" w:after="0" w:afterAutospacing="0" w:line="240" w:lineRule="atLeast"/>
              <w:ind w:left="0" w:right="0"/>
              <w:jc w:val="center"/>
              <w:rPr>
                <w:rFonts w:hint="default" w:ascii="仿宋" w:hAnsi="仿宋" w:eastAsia="仿宋"/>
                <w:b/>
                <w:color w:val="auto"/>
                <w:sz w:val="21"/>
                <w:szCs w:val="21"/>
                <w:highlight w:val="none"/>
              </w:rPr>
            </w:pPr>
            <w:r>
              <w:rPr>
                <w:rFonts w:hint="eastAsia" w:ascii="仿宋" w:hAnsi="仿宋" w:eastAsia="仿宋"/>
                <w:b/>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r>
              <w:rPr>
                <w:rFonts w:hint="eastAsia" w:ascii="仿宋" w:hAnsi="仿宋" w:eastAsia="仿宋" w:cs="仿宋"/>
                <w:color w:val="auto"/>
                <w:sz w:val="21"/>
                <w:szCs w:val="21"/>
                <w:highlight w:val="none"/>
              </w:rPr>
              <w:t>提醒：请注明具体内容以及响应文件中具体内容的位置（页码）</w:t>
            </w: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5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6"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3217"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c>
          <w:tcPr>
            <w:tcW w:w="1314"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
                <w:color w:val="auto"/>
                <w:sz w:val="21"/>
                <w:szCs w:val="21"/>
                <w:highlight w:val="none"/>
              </w:rPr>
            </w:pPr>
          </w:p>
        </w:tc>
      </w:tr>
    </w:tbl>
    <w:p>
      <w:pPr>
        <w:pStyle w:val="13"/>
        <w:spacing w:line="520" w:lineRule="exact"/>
        <w:ind w:firstLine="438" w:firstLineChars="200"/>
        <w:rPr>
          <w:rFonts w:ascii="仿宋" w:hAnsi="仿宋" w:eastAsia="仿宋"/>
          <w:color w:val="auto"/>
          <w:sz w:val="24"/>
          <w:szCs w:val="28"/>
          <w:highlight w:val="none"/>
        </w:rPr>
      </w:pP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                       法定代表人（或法定代表人授权代表）或自然人：</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（供应商公章）</w:t>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（签署或盖章）</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ab/>
      </w:r>
      <w:r>
        <w:rPr>
          <w:rFonts w:hint="eastAsia" w:ascii="仿宋" w:hAnsi="仿宋" w:eastAsia="仿宋"/>
          <w:color w:val="auto"/>
          <w:sz w:val="24"/>
          <w:szCs w:val="28"/>
          <w:highlight w:val="none"/>
        </w:rPr>
        <w:t xml:space="preserve"> 年   月   日 </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注：</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 xml:space="preserve">1.本表即为对本项目“第三篇 </w:t>
      </w:r>
      <w:r>
        <w:rPr>
          <w:rFonts w:hint="eastAsia" w:ascii="仿宋" w:hAnsi="仿宋" w:eastAsia="仿宋"/>
          <w:color w:val="auto"/>
          <w:sz w:val="24"/>
          <w:szCs w:val="28"/>
          <w:highlight w:val="none"/>
          <w:lang w:eastAsia="zh-CN"/>
        </w:rPr>
        <w:t>采购</w:t>
      </w:r>
      <w:r>
        <w:rPr>
          <w:rFonts w:hint="eastAsia" w:ascii="仿宋" w:hAnsi="仿宋" w:eastAsia="仿宋"/>
          <w:color w:val="auto"/>
          <w:sz w:val="24"/>
          <w:szCs w:val="28"/>
          <w:highlight w:val="none"/>
        </w:rPr>
        <w:t>商务要求”中所列条款进行比较和响应；</w:t>
      </w:r>
    </w:p>
    <w:p>
      <w:pPr>
        <w:pStyle w:val="13"/>
        <w:spacing w:line="520" w:lineRule="exact"/>
        <w:ind w:firstLine="438" w:firstLineChars="200"/>
        <w:rPr>
          <w:rFonts w:ascii="仿宋" w:hAnsi="仿宋" w:eastAsia="仿宋"/>
          <w:color w:val="auto"/>
          <w:sz w:val="24"/>
          <w:szCs w:val="28"/>
          <w:highlight w:val="none"/>
        </w:rPr>
      </w:pPr>
      <w:r>
        <w:rPr>
          <w:rFonts w:hint="eastAsia" w:ascii="仿宋" w:hAnsi="仿宋" w:eastAsia="仿宋"/>
          <w:color w:val="auto"/>
          <w:sz w:val="24"/>
          <w:szCs w:val="28"/>
          <w:highlight w:val="none"/>
        </w:rPr>
        <w:t>2.该表必须按照磋商文件要求逐条如实填写，根据响应情况在“差异说明”项填写正偏离或负偏离及原因，完全符合的填写“无差异”；</w:t>
      </w:r>
    </w:p>
    <w:p>
      <w:pPr>
        <w:pStyle w:val="13"/>
        <w:spacing w:line="520" w:lineRule="exact"/>
        <w:ind w:firstLine="438" w:firstLineChars="200"/>
        <w:rPr>
          <w:rFonts w:ascii="方正仿宋_GBK" w:hAnsi="方正仿宋_GBK" w:eastAsia="仿宋" w:cs="方正仿宋_GBK"/>
          <w:color w:val="auto"/>
          <w:sz w:val="32"/>
          <w:szCs w:val="32"/>
          <w:highlight w:val="none"/>
        </w:rPr>
      </w:pPr>
      <w:r>
        <w:rPr>
          <w:rFonts w:hint="eastAsia" w:ascii="仿宋" w:hAnsi="仿宋" w:eastAsia="仿宋"/>
          <w:color w:val="auto"/>
          <w:sz w:val="24"/>
          <w:szCs w:val="28"/>
          <w:highlight w:val="none"/>
        </w:rPr>
        <w:t>3.该表可扩展。</w:t>
      </w:r>
      <w:bookmarkEnd w:id="936"/>
      <w:r>
        <w:rPr>
          <w:rFonts w:hint="eastAsia" w:ascii="仿宋" w:hAnsi="仿宋" w:eastAsia="仿宋"/>
          <w:color w:val="auto"/>
          <w:sz w:val="24"/>
          <w:szCs w:val="28"/>
          <w:highlight w:val="none"/>
        </w:rPr>
        <w:br w:type="page"/>
      </w:r>
      <w:bookmarkStart w:id="937" w:name="_Toc15373"/>
      <w:bookmarkStart w:id="938" w:name="_Toc5897"/>
      <w:bookmarkStart w:id="939" w:name="_Toc452628354"/>
    </w:p>
    <w:p>
      <w:pPr>
        <w:spacing w:line="520" w:lineRule="exact"/>
        <w:ind w:firstLine="438" w:firstLineChars="200"/>
        <w:jc w:val="left"/>
        <w:rPr>
          <w:rFonts w:ascii="方正仿宋_GBK" w:hAnsi="仿宋" w:eastAsia="仿宋" w:cs="仿宋"/>
          <w:color w:val="auto"/>
          <w:kern w:val="0"/>
          <w:szCs w:val="28"/>
          <w:highlight w:val="none"/>
        </w:rPr>
      </w:pPr>
      <w:bookmarkStart w:id="940" w:name="_Toc4344"/>
      <w:bookmarkStart w:id="941" w:name="_Toc32724"/>
      <w:bookmarkStart w:id="942" w:name="_Toc10702"/>
      <w:bookmarkStart w:id="943" w:name="_Toc19323"/>
      <w:bookmarkStart w:id="944" w:name="_Toc21604"/>
      <w:bookmarkStart w:id="945" w:name="_Toc21874"/>
      <w:bookmarkStart w:id="946" w:name="_Toc15642"/>
      <w:bookmarkStart w:id="947" w:name="_Toc26260"/>
      <w:bookmarkStart w:id="948" w:name="_Toc2377"/>
      <w:bookmarkStart w:id="949" w:name="_Toc27026"/>
      <w:bookmarkStart w:id="950" w:name="_Toc7089"/>
      <w:bookmarkStart w:id="951" w:name="_Toc12077"/>
      <w:bookmarkStart w:id="952" w:name="_Toc28744"/>
      <w:bookmarkStart w:id="953" w:name="_Toc32354"/>
      <w:bookmarkStart w:id="954" w:name="_Toc27078"/>
      <w:bookmarkStart w:id="955" w:name="_Toc7378"/>
      <w:bookmarkStart w:id="956" w:name="_Toc48837336"/>
      <w:bookmarkStart w:id="957" w:name="_Toc13377"/>
      <w:bookmarkStart w:id="958" w:name="_Toc28265"/>
      <w:bookmarkStart w:id="959" w:name="_Toc14442"/>
      <w:bookmarkStart w:id="960" w:name="_Toc19720"/>
      <w:bookmarkStart w:id="961" w:name="_Toc1566"/>
      <w:r>
        <w:rPr>
          <w:rFonts w:hint="eastAsia" w:ascii="方正仿宋_GBK" w:hAnsi="仿宋" w:eastAsia="仿宋" w:cs="仿宋"/>
          <w:color w:val="auto"/>
          <w:kern w:val="0"/>
          <w:szCs w:val="28"/>
          <w:highlight w:val="none"/>
        </w:rPr>
        <w:t>（二）</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文件第三篇所需证明材料（如果有）</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（三）</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文件第四篇评审标准“商务部分”所要求的证明材料</w:t>
      </w:r>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（四）其他响应</w:t>
      </w:r>
      <w:r>
        <w:rPr>
          <w:rFonts w:hint="eastAsia" w:ascii="方正仿宋_GBK" w:hAnsi="仿宋" w:eastAsia="仿宋" w:cs="仿宋"/>
          <w:color w:val="auto"/>
          <w:kern w:val="0"/>
          <w:szCs w:val="28"/>
          <w:highlight w:val="none"/>
          <w:lang w:eastAsia="zh-CN"/>
        </w:rPr>
        <w:t>竞争性磋商</w:t>
      </w:r>
      <w:r>
        <w:rPr>
          <w:rFonts w:hint="eastAsia" w:ascii="方正仿宋_GBK" w:hAnsi="仿宋" w:eastAsia="仿宋" w:cs="仿宋"/>
          <w:color w:val="auto"/>
          <w:kern w:val="0"/>
          <w:szCs w:val="28"/>
          <w:highlight w:val="none"/>
        </w:rPr>
        <w:t>文件提供的商务文件</w:t>
      </w: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p>
      <w:pPr>
        <w:pStyle w:val="14"/>
        <w:rPr>
          <w:rFonts w:ascii="方正仿宋_GBK" w:hAnsi="仿宋" w:eastAsia="仿宋" w:cs="仿宋"/>
          <w:b/>
          <w:bCs/>
          <w:color w:val="auto"/>
          <w:kern w:val="0"/>
          <w:szCs w:val="28"/>
          <w:highlight w:val="none"/>
        </w:rPr>
      </w:pPr>
    </w:p>
    <w:p>
      <w:pPr>
        <w:pStyle w:val="14"/>
        <w:rPr>
          <w:rFonts w:ascii="方正仿宋_GBK" w:hAnsi="仿宋" w:eastAsia="仿宋" w:cs="仿宋"/>
          <w:b/>
          <w:bCs/>
          <w:color w:val="auto"/>
          <w:kern w:val="0"/>
          <w:szCs w:val="28"/>
          <w:highlight w:val="none"/>
        </w:rPr>
      </w:pPr>
    </w:p>
    <w:p>
      <w:pPr>
        <w:spacing w:line="520" w:lineRule="exact"/>
        <w:ind w:firstLine="438" w:firstLineChars="200"/>
        <w:jc w:val="left"/>
        <w:rPr>
          <w:rFonts w:ascii="方正仿宋_GBK" w:hAnsi="仿宋" w:eastAsia="仿宋" w:cs="仿宋"/>
          <w:b/>
          <w:bCs/>
          <w:color w:val="auto"/>
          <w:kern w:val="0"/>
          <w:szCs w:val="28"/>
          <w:highlight w:val="none"/>
        </w:rPr>
      </w:pPr>
    </w:p>
    <w:bookmarkEnd w:id="888"/>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Pr>
        <w:spacing w:line="520" w:lineRule="exact"/>
        <w:ind w:firstLine="438" w:firstLineChars="200"/>
        <w:jc w:val="left"/>
        <w:outlineLvl w:val="1"/>
        <w:rPr>
          <w:rFonts w:eastAsia="仿宋" w:cs="宋体"/>
          <w:b/>
          <w:bCs/>
          <w:color w:val="auto"/>
          <w:szCs w:val="28"/>
          <w:highlight w:val="none"/>
        </w:rPr>
      </w:pPr>
      <w:bookmarkStart w:id="962" w:name="_Toc2766"/>
      <w:bookmarkStart w:id="963" w:name="_Toc31891"/>
      <w:bookmarkStart w:id="964" w:name="_Toc1595"/>
      <w:bookmarkStart w:id="965" w:name="_Toc12867"/>
      <w:bookmarkStart w:id="966" w:name="_Toc20650"/>
      <w:bookmarkStart w:id="967" w:name="_Toc48837337"/>
      <w:bookmarkStart w:id="968" w:name="_Toc18123"/>
      <w:bookmarkStart w:id="969" w:name="_Toc14575"/>
      <w:bookmarkStart w:id="970" w:name="_Toc7106"/>
      <w:bookmarkStart w:id="971" w:name="_Toc31017"/>
      <w:bookmarkStart w:id="972" w:name="_Toc5958"/>
      <w:bookmarkStart w:id="973" w:name="_Toc31133"/>
      <w:bookmarkStart w:id="974" w:name="_Toc20178"/>
      <w:bookmarkStart w:id="975" w:name="_Toc17557"/>
      <w:bookmarkStart w:id="976" w:name="_Toc11151"/>
      <w:bookmarkStart w:id="977" w:name="_Toc23698"/>
      <w:bookmarkStart w:id="978" w:name="_Toc12843"/>
      <w:bookmarkStart w:id="979" w:name="_Toc31468"/>
      <w:bookmarkStart w:id="980" w:name="_Toc15684"/>
      <w:bookmarkStart w:id="981" w:name="_Toc2341"/>
      <w:bookmarkStart w:id="982" w:name="_Toc11174"/>
      <w:bookmarkStart w:id="983" w:name="_Toc19505"/>
      <w:bookmarkStart w:id="984" w:name="_Toc30432"/>
      <w:bookmarkStart w:id="985" w:name="_Toc32365"/>
      <w:bookmarkStart w:id="986" w:name="_Toc14854"/>
      <w:bookmarkStart w:id="987" w:name="_Toc32670"/>
      <w:bookmarkStart w:id="988" w:name="_Toc29856"/>
      <w:r>
        <w:rPr>
          <w:rFonts w:hint="eastAsia" w:eastAsia="仿宋" w:cs="宋体"/>
          <w:b/>
          <w:bCs/>
          <w:color w:val="auto"/>
          <w:szCs w:val="28"/>
          <w:highlight w:val="none"/>
        </w:rPr>
        <w:t>五、资格文件</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spacing w:line="520" w:lineRule="exact"/>
        <w:ind w:firstLine="438" w:firstLineChars="200"/>
        <w:jc w:val="left"/>
        <w:rPr>
          <w:rFonts w:ascii="方正仿宋_GBK" w:hAnsi="仿宋" w:eastAsia="仿宋" w:cs="仿宋"/>
          <w:color w:val="auto"/>
          <w:kern w:val="0"/>
          <w:szCs w:val="28"/>
          <w:highlight w:val="none"/>
        </w:rPr>
      </w:pPr>
    </w:p>
    <w:p>
      <w:pPr>
        <w:spacing w:line="520" w:lineRule="exact"/>
        <w:ind w:firstLine="438" w:firstLineChars="200"/>
        <w:jc w:val="left"/>
        <w:rPr>
          <w:rFonts w:ascii="宋体" w:hAnsi="宋体" w:eastAsia="仿宋"/>
          <w:bCs/>
          <w:color w:val="auto"/>
          <w:highlight w:val="none"/>
        </w:rPr>
      </w:pPr>
      <w:r>
        <w:rPr>
          <w:rFonts w:hint="eastAsia" w:ascii="方正仿宋_GBK" w:hAnsi="仿宋" w:eastAsia="仿宋" w:cs="仿宋"/>
          <w:color w:val="auto"/>
          <w:kern w:val="0"/>
          <w:szCs w:val="28"/>
          <w:highlight w:val="none"/>
        </w:rPr>
        <w:t>（一）</w:t>
      </w:r>
      <w:bookmarkStart w:id="989" w:name="_Hlk84948558"/>
      <w:r>
        <w:rPr>
          <w:rFonts w:hint="eastAsia" w:ascii="方正仿宋_GBK" w:hAnsi="仿宋" w:eastAsia="仿宋" w:cs="仿宋"/>
          <w:color w:val="auto"/>
          <w:kern w:val="0"/>
          <w:szCs w:val="28"/>
          <w:highlight w:val="none"/>
        </w:rPr>
        <w:t>法人营业执照（副本）或事业单位法人证书（副本）或个体工商户营业执照或有效的自然人身份证明或社会团体法人登记证书复印件</w:t>
      </w:r>
      <w:bookmarkEnd w:id="989"/>
      <w:r>
        <w:rPr>
          <w:rFonts w:ascii="宋体" w:hAnsi="宋体" w:eastAsia="仿宋"/>
          <w:bCs/>
          <w:color w:val="auto"/>
          <w:highlight w:val="none"/>
        </w:rPr>
        <w:br w:type="page"/>
      </w:r>
    </w:p>
    <w:p>
      <w:pPr>
        <w:jc w:val="center"/>
        <w:rPr>
          <w:rFonts w:hint="eastAsia" w:ascii="仿宋" w:hAnsi="仿宋" w:eastAsia="仿宋" w:cs="仿宋"/>
          <w:color w:val="auto"/>
          <w:sz w:val="28"/>
          <w:szCs w:val="28"/>
          <w:highlight w:val="none"/>
        </w:rPr>
      </w:pPr>
      <w:bookmarkStart w:id="990" w:name="_Hlk84948793"/>
      <w:bookmarkStart w:id="991" w:name="_Hlk84948823"/>
      <w:r>
        <w:rPr>
          <w:rFonts w:hint="eastAsia" w:ascii="仿宋" w:hAnsi="仿宋" w:eastAsia="仿宋" w:cs="仿宋"/>
          <w:color w:val="auto"/>
          <w:sz w:val="28"/>
          <w:szCs w:val="28"/>
          <w:highlight w:val="none"/>
        </w:rPr>
        <w:t>（二）法定代表人身份证明书（格式）</w:t>
      </w:r>
    </w:p>
    <w:p>
      <w:pPr>
        <w:ind w:firstLine="438"/>
        <w:rPr>
          <w:rFonts w:hint="eastAsia" w:ascii="仿宋" w:hAnsi="仿宋" w:eastAsia="仿宋" w:cs="仿宋"/>
          <w:color w:val="auto"/>
          <w:szCs w:val="22"/>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项目名称：</w:t>
      </w:r>
      <w:r>
        <w:rPr>
          <w:rFonts w:hint="eastAsia" w:ascii="方正仿宋_GBK" w:hAnsi="仿宋" w:eastAsia="仿宋" w:cs="仿宋"/>
          <w:color w:val="auto"/>
          <w:kern w:val="0"/>
          <w:szCs w:val="28"/>
          <w:highlight w:val="none"/>
          <w:u w:val="single"/>
        </w:rPr>
        <w:t xml:space="preserve">                        </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致：</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（采购代理机构名称）</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（法定代表人姓名）在</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（供应商名称）任</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（职务名称）职务，是</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（供应商名称）的法定代表人。</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特此证明。</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5475" w:firstLineChars="25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（供应商公章）</w:t>
      </w:r>
    </w:p>
    <w:p>
      <w:pPr>
        <w:spacing w:line="520" w:lineRule="exact"/>
        <w:ind w:firstLine="5585" w:firstLineChars="255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 xml:space="preserve">年   月   日 </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bookmarkStart w:id="992" w:name="_Hlk84948705"/>
      <w:r>
        <w:rPr>
          <w:rFonts w:hint="eastAsia" w:ascii="方正仿宋_GBK" w:hAnsi="仿宋" w:eastAsia="仿宋" w:cs="仿宋"/>
          <w:color w:val="auto"/>
          <w:kern w:val="0"/>
          <w:szCs w:val="28"/>
          <w:highlight w:val="none"/>
        </w:rPr>
        <w:t>法定代表人电话：XXXXXXX      电子邮箱：XXXXXX@XXXXX（若授权他人办理并签署响应文件的可不填写）</w:t>
      </w:r>
      <w:bookmarkEnd w:id="992"/>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（附：法定代表人身份证</w:t>
      </w:r>
      <w:r>
        <w:rPr>
          <w:rFonts w:hint="eastAsia" w:ascii="方正仿宋_GBK" w:hAnsi="仿宋" w:eastAsia="方正仿宋_GBK"/>
          <w:sz w:val="24"/>
        </w:rPr>
        <w:t>正反面</w:t>
      </w:r>
      <w:r>
        <w:rPr>
          <w:rFonts w:hint="eastAsia" w:ascii="方正仿宋_GBK" w:hAnsi="仿宋" w:eastAsia="仿宋" w:cs="仿宋"/>
          <w:color w:val="auto"/>
          <w:kern w:val="0"/>
          <w:szCs w:val="28"/>
          <w:highlight w:val="none"/>
        </w:rPr>
        <w:t>复印件）</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br w:type="page"/>
      </w:r>
    </w:p>
    <w:bookmarkEnd w:id="990"/>
    <w:bookmarkEnd w:id="991"/>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（三）法定代表人授权委托书（格式）</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u w:val="single"/>
        </w:rPr>
      </w:pPr>
      <w:r>
        <w:rPr>
          <w:rFonts w:hint="eastAsia" w:ascii="方正仿宋_GBK" w:hAnsi="仿宋" w:eastAsia="仿宋" w:cs="仿宋"/>
          <w:color w:val="auto"/>
          <w:kern w:val="0"/>
          <w:szCs w:val="28"/>
          <w:highlight w:val="none"/>
        </w:rPr>
        <w:t>项目名称：</w:t>
      </w:r>
      <w:r>
        <w:rPr>
          <w:rFonts w:hint="eastAsia" w:ascii="方正仿宋_GBK" w:hAnsi="仿宋" w:eastAsia="仿宋" w:cs="仿宋"/>
          <w:color w:val="auto"/>
          <w:kern w:val="0"/>
          <w:szCs w:val="28"/>
          <w:highlight w:val="none"/>
          <w:u w:val="single"/>
        </w:rPr>
        <w:t xml:space="preserve">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致：</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（采购代理机构名称）</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（供应商法定代表人名称）是</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（供应商名称）的法定代表人，特授权</w:t>
      </w:r>
      <w:r>
        <w:rPr>
          <w:rFonts w:hint="eastAsia" w:ascii="方正仿宋_GBK" w:hAnsi="仿宋" w:eastAsia="仿宋" w:cs="仿宋"/>
          <w:color w:val="auto"/>
          <w:kern w:val="0"/>
          <w:szCs w:val="28"/>
          <w:highlight w:val="none"/>
          <w:u w:val="single"/>
        </w:rPr>
        <w:t xml:space="preserve">                        </w:t>
      </w:r>
      <w:r>
        <w:rPr>
          <w:rFonts w:hint="eastAsia" w:ascii="方正仿宋_GBK" w:hAnsi="仿宋" w:eastAsia="仿宋" w:cs="仿宋"/>
          <w:color w:val="auto"/>
          <w:kern w:val="0"/>
          <w:szCs w:val="28"/>
          <w:highlight w:val="none"/>
        </w:rPr>
        <w:t>（被授权人姓名及身份证代码）代表我单位全权办理上述项目的响应、谈判、签约等具体工作，并签署全部有关文件、协议及合同。</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我单位对被授权人的签署负全部责任。</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在撤消授权的书面通知以前，本授权书一直有效。被授权人在授权书有效期内签署的所有文件不因授权的撤消而失效。</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被授权人：</w:t>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供应商法定代表人：</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（签署或盖章）</w:t>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（签署或盖章）</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（供应商公章）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ab/>
      </w:r>
      <w:r>
        <w:rPr>
          <w:rFonts w:hint="eastAsia" w:ascii="方正仿宋_GBK" w:hAnsi="仿宋" w:eastAsia="仿宋" w:cs="仿宋"/>
          <w:color w:val="auto"/>
          <w:kern w:val="0"/>
          <w:szCs w:val="28"/>
          <w:highlight w:val="none"/>
        </w:rPr>
        <w:t xml:space="preserve">   年   月   日 </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（附：</w:t>
      </w:r>
      <w:bookmarkStart w:id="993" w:name="_Hlk69975477"/>
      <w:r>
        <w:rPr>
          <w:rFonts w:hint="eastAsia" w:ascii="方正仿宋_GBK" w:hAnsi="仿宋" w:eastAsia="仿宋" w:cs="仿宋"/>
          <w:color w:val="auto"/>
          <w:kern w:val="0"/>
          <w:szCs w:val="28"/>
          <w:highlight w:val="none"/>
        </w:rPr>
        <w:t>被授权人</w:t>
      </w:r>
      <w:bookmarkEnd w:id="993"/>
      <w:r>
        <w:rPr>
          <w:rFonts w:hint="eastAsia" w:ascii="方正仿宋_GBK" w:hAnsi="仿宋" w:eastAsia="仿宋" w:cs="仿宋"/>
          <w:color w:val="auto"/>
          <w:kern w:val="0"/>
          <w:szCs w:val="28"/>
          <w:highlight w:val="none"/>
        </w:rPr>
        <w:t>身份证</w:t>
      </w:r>
      <w:r>
        <w:rPr>
          <w:rFonts w:hint="eastAsia" w:ascii="方正仿宋_GBK" w:hAnsi="仿宋" w:eastAsia="方正仿宋_GBK"/>
          <w:sz w:val="24"/>
        </w:rPr>
        <w:t>正反面</w:t>
      </w:r>
      <w:r>
        <w:rPr>
          <w:rFonts w:hint="eastAsia" w:ascii="方正仿宋_GBK" w:hAnsi="仿宋" w:eastAsia="仿宋" w:cs="仿宋"/>
          <w:color w:val="auto"/>
          <w:kern w:val="0"/>
          <w:szCs w:val="28"/>
          <w:highlight w:val="none"/>
        </w:rPr>
        <w:t>复印件）</w:t>
      </w: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被授权人电话：XXXXXXX     电子邮箱：XXXXXX@XXXXX（若法定代表人办理并签署响应文件的可不填写）</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注：</w:t>
      </w:r>
    </w:p>
    <w:p>
      <w:pPr>
        <w:spacing w:line="520" w:lineRule="exact"/>
        <w:ind w:firstLine="438" w:firstLineChars="200"/>
        <w:jc w:val="left"/>
        <w:rPr>
          <w:rFonts w:hint="eastAsia"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1.若为法定代表人办理并签署响应文件的，不提供此文件。</w:t>
      </w:r>
    </w:p>
    <w:p>
      <w:pPr>
        <w:tabs>
          <w:tab w:val="left" w:pos="6300"/>
        </w:tabs>
        <w:snapToGrid w:val="0"/>
        <w:spacing w:line="500" w:lineRule="exact"/>
        <w:ind w:firstLine="438" w:firstLineChars="200"/>
        <w:rPr>
          <w:rFonts w:hint="eastAsia" w:ascii="方正仿宋_GBK" w:hAnsi="宋体" w:eastAsia="方正仿宋_GBK"/>
          <w:color w:val="auto"/>
          <w:sz w:val="24"/>
          <w:szCs w:val="24"/>
          <w:highlight w:val="none"/>
        </w:rPr>
      </w:pPr>
      <w:r>
        <w:rPr>
          <w:rFonts w:hint="eastAsia" w:ascii="方正仿宋_GBK" w:hAnsi="仿宋" w:eastAsia="仿宋" w:cs="仿宋"/>
          <w:color w:val="auto"/>
          <w:kern w:val="0"/>
          <w:szCs w:val="28"/>
          <w:highlight w:val="none"/>
        </w:rPr>
        <w:t>2.若为联合体的，法定代表人授权委托书由联合体主办方（主体）出具。</w:t>
      </w:r>
      <w:r>
        <w:rPr>
          <w:rFonts w:hint="eastAsia" w:ascii="方正仿宋_GBK" w:hAnsi="仿宋" w:eastAsia="仿宋" w:cs="仿宋"/>
          <w:color w:val="auto"/>
          <w:kern w:val="0"/>
          <w:szCs w:val="28"/>
          <w:highlight w:val="none"/>
        </w:rPr>
        <w:br w:type="column"/>
      </w:r>
      <w:r>
        <w:rPr>
          <w:rFonts w:hint="eastAsia" w:ascii="仿宋" w:hAnsi="仿宋" w:eastAsia="仿宋" w:cs="仿宋"/>
          <w:color w:val="auto"/>
          <w:szCs w:val="24"/>
          <w:highlight w:val="none"/>
        </w:rPr>
        <w:t>（四）基本资格条件承诺函</w:t>
      </w:r>
    </w:p>
    <w:p>
      <w:pPr>
        <w:tabs>
          <w:tab w:val="left" w:pos="6300"/>
        </w:tabs>
        <w:snapToGrid w:val="0"/>
        <w:spacing w:line="500" w:lineRule="exact"/>
        <w:ind w:firstLine="598" w:firstLineChars="200"/>
        <w:jc w:val="center"/>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致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（采购代理机构名称）：</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（供应商名称）郑重承诺：</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1.我方具有良好的商业信誉和健全的财务会计制度，具有履行合同所必需的设备和专业技术能力，具</w:t>
      </w:r>
      <w:r>
        <w:rPr>
          <w:rFonts w:hint="eastAsia" w:ascii="仿宋" w:hAnsi="仿宋" w:eastAsia="仿宋" w:cs="仿宋"/>
          <w:color w:val="auto"/>
          <w:szCs w:val="24"/>
          <w:highlight w:val="none"/>
          <w:lang w:val="zh-CN"/>
        </w:rPr>
        <w:t>有依法缴纳税收和社会保障金的良好记录</w:t>
      </w:r>
      <w:r>
        <w:rPr>
          <w:rFonts w:hint="eastAsia" w:ascii="仿宋" w:hAnsi="仿宋" w:eastAsia="仿宋" w:cs="仿宋"/>
          <w:color w:val="auto"/>
          <w:szCs w:val="24"/>
          <w:highlight w:val="none"/>
        </w:rPr>
        <w:t>，参加本项目采购活动前三年内无重大违法活动记录。</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2.我方未列入在信用中国网站（www.creditchina.gov.cn）“失信被执行人”、“重大税收违法案件当事人名单”中，也未列入中国政府采购网（www.ccgp.gov.cn）“政府采购严重违法失信行为记录名单”中。</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3.我方在采购项目评审（评标）环节结束后，随时接受采购人、采购代理机构的检查验证，配合提供相关证明材料，证明符合《中华人民共和国政府采购法》规定的供应商基本资格条件。</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我方对以上承诺负全部法律责任。</w:t>
      </w:r>
    </w:p>
    <w:p>
      <w:pPr>
        <w:spacing w:line="520" w:lineRule="exact"/>
        <w:ind w:firstLine="438"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特此承诺。</w:t>
      </w:r>
    </w:p>
    <w:p>
      <w:pPr>
        <w:spacing w:line="520" w:lineRule="exact"/>
        <w:ind w:firstLine="438" w:firstLineChars="200"/>
        <w:rPr>
          <w:rFonts w:hint="eastAsia" w:ascii="仿宋" w:hAnsi="仿宋" w:eastAsia="仿宋" w:cs="仿宋"/>
          <w:color w:val="auto"/>
          <w:szCs w:val="24"/>
          <w:highlight w:val="none"/>
        </w:rPr>
      </w:pPr>
    </w:p>
    <w:p>
      <w:pPr>
        <w:spacing w:line="520" w:lineRule="exact"/>
        <w:ind w:firstLine="438" w:firstLineChars="20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 xml:space="preserve">                                        </w:t>
      </w:r>
      <w:r>
        <w:rPr>
          <w:rFonts w:hint="eastAsia" w:ascii="仿宋" w:hAnsi="仿宋" w:eastAsia="仿宋" w:cs="仿宋"/>
          <w:color w:val="auto"/>
          <w:szCs w:val="24"/>
          <w:highlight w:val="none"/>
        </w:rPr>
        <w:t>（供应商公章）</w:t>
      </w:r>
    </w:p>
    <w:p>
      <w:pPr>
        <w:spacing w:line="520" w:lineRule="exact"/>
        <w:jc w:val="both"/>
        <w:rPr>
          <w:rFonts w:hint="eastAsia" w:ascii="仿宋" w:hAnsi="仿宋" w:eastAsia="仿宋" w:cs="仿宋"/>
          <w:color w:val="auto"/>
          <w:szCs w:val="24"/>
          <w:highlight w:val="none"/>
        </w:rPr>
      </w:pPr>
    </w:p>
    <w:p>
      <w:pPr>
        <w:spacing w:line="520" w:lineRule="exact"/>
        <w:ind w:firstLine="6570" w:firstLineChars="3000"/>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年   月   日</w:t>
      </w:r>
    </w:p>
    <w:p>
      <w:pPr>
        <w:spacing w:line="520" w:lineRule="exact"/>
        <w:ind w:firstLine="6570" w:firstLineChars="3000"/>
        <w:rPr>
          <w:rFonts w:ascii="仿宋" w:hAnsi="仿宋" w:eastAsia="仿宋" w:cs="仿宋"/>
          <w:color w:val="auto"/>
          <w:szCs w:val="24"/>
          <w:highlight w:val="none"/>
        </w:rPr>
      </w:pPr>
    </w:p>
    <w:p>
      <w:pPr>
        <w:spacing w:line="520" w:lineRule="exact"/>
        <w:ind w:firstLine="438" w:firstLineChars="200"/>
        <w:jc w:val="right"/>
        <w:rPr>
          <w:rFonts w:hint="eastAsia"/>
          <w:color w:val="auto"/>
          <w:highlight w:val="none"/>
        </w:rPr>
      </w:pPr>
      <w:r>
        <w:rPr>
          <w:rFonts w:hint="eastAsia" w:ascii="仿宋" w:hAnsi="仿宋" w:eastAsia="仿宋" w:cs="仿宋"/>
          <w:color w:val="auto"/>
          <w:szCs w:val="24"/>
          <w:highlight w:val="none"/>
        </w:rPr>
        <w:br w:type="page"/>
      </w:r>
      <w:bookmarkStart w:id="994" w:name="_Hlk84948932"/>
    </w:p>
    <w:p>
      <w:pPr>
        <w:keepNext w:val="0"/>
        <w:keepLines w:val="0"/>
        <w:pageBreakBefore w:val="0"/>
        <w:widowControl w:val="0"/>
        <w:numPr>
          <w:ilvl w:val="0"/>
          <w:numId w:val="0"/>
        </w:numPr>
        <w:tabs>
          <w:tab w:val="left" w:pos="6300"/>
        </w:tabs>
        <w:kinsoku/>
        <w:wordWrap/>
        <w:overflowPunct/>
        <w:topLinePunct w:val="0"/>
        <w:autoSpaceDE/>
        <w:autoSpaceDN/>
        <w:bidi w:val="0"/>
        <w:adjustRightInd/>
        <w:snapToGrid w:val="0"/>
        <w:spacing w:line="520" w:lineRule="exact"/>
        <w:ind w:firstLine="438" w:firstLineChars="200"/>
        <w:jc w:val="left"/>
        <w:textAlignment w:val="auto"/>
        <w:outlineLvl w:val="9"/>
        <w:rPr>
          <w:rFonts w:hint="eastAsia" w:eastAsia="方正仿宋_GBK"/>
          <w:color w:val="auto"/>
          <w:highlight w:val="none"/>
          <w:lang w:eastAsia="zh-CN"/>
        </w:rPr>
      </w:pPr>
      <w:r>
        <w:rPr>
          <w:rFonts w:hint="eastAsia"/>
          <w:color w:val="auto"/>
          <w:highlight w:val="none"/>
        </w:rPr>
        <w:t>（</w:t>
      </w:r>
      <w:r>
        <w:rPr>
          <w:rFonts w:hint="eastAsia"/>
          <w:color w:val="auto"/>
          <w:highlight w:val="none"/>
          <w:lang w:eastAsia="zh-CN"/>
        </w:rPr>
        <w:t>五</w:t>
      </w:r>
      <w:r>
        <w:rPr>
          <w:rFonts w:hint="eastAsia"/>
          <w:color w:val="auto"/>
          <w:highlight w:val="none"/>
        </w:rPr>
        <w:t>）特定资格条件证书或证明文件：</w:t>
      </w:r>
      <w:r>
        <w:rPr>
          <w:rFonts w:hint="eastAsia"/>
          <w:color w:val="auto"/>
          <w:highlight w:val="none"/>
          <w:lang w:eastAsia="zh-CN"/>
        </w:rPr>
        <w:t>无</w:t>
      </w:r>
    </w:p>
    <w:p>
      <w:pPr>
        <w:pStyle w:val="22"/>
        <w:rPr>
          <w:rFonts w:hint="eastAsia"/>
          <w:color w:val="auto"/>
          <w:highlight w:val="none"/>
        </w:rPr>
      </w:pPr>
    </w:p>
    <w:bookmarkEnd w:id="994"/>
    <w:p>
      <w:pPr>
        <w:tabs>
          <w:tab w:val="left" w:pos="6300"/>
        </w:tabs>
        <w:snapToGrid w:val="0"/>
        <w:spacing w:line="520" w:lineRule="exact"/>
        <w:ind w:firstLine="438" w:firstLineChars="200"/>
        <w:jc w:val="left"/>
        <w:rPr>
          <w:rFonts w:hint="eastAsia" w:ascii="方正仿宋_GBK" w:hAnsi="仿宋" w:eastAsia="仿宋" w:cs="仿宋"/>
          <w:color w:val="auto"/>
          <w:kern w:val="0"/>
          <w:szCs w:val="28"/>
          <w:highlight w:val="none"/>
        </w:rPr>
      </w:pPr>
    </w:p>
    <w:p>
      <w:pPr>
        <w:tabs>
          <w:tab w:val="left" w:pos="6300"/>
        </w:tabs>
        <w:snapToGrid w:val="0"/>
        <w:spacing w:line="520" w:lineRule="exact"/>
        <w:ind w:firstLine="438" w:firstLineChars="200"/>
        <w:jc w:val="left"/>
        <w:rPr>
          <w:rFonts w:hint="eastAsia" w:ascii="方正仿宋_GBK" w:hAnsi="仿宋" w:eastAsia="仿宋" w:cs="仿宋"/>
          <w:color w:val="auto"/>
          <w:kern w:val="0"/>
          <w:szCs w:val="28"/>
          <w:highlight w:val="none"/>
        </w:rPr>
      </w:pPr>
    </w:p>
    <w:p>
      <w:pPr>
        <w:tabs>
          <w:tab w:val="left" w:pos="6300"/>
        </w:tabs>
        <w:snapToGrid w:val="0"/>
        <w:spacing w:line="520" w:lineRule="exact"/>
        <w:ind w:firstLine="438" w:firstLineChars="200"/>
        <w:jc w:val="left"/>
        <w:rPr>
          <w:rFonts w:ascii="方正仿宋_GBK" w:hAnsi="仿宋" w:eastAsia="仿宋" w:cs="仿宋"/>
          <w:color w:val="auto"/>
          <w:kern w:val="0"/>
          <w:szCs w:val="28"/>
          <w:highlight w:val="none"/>
        </w:rPr>
      </w:pPr>
      <w:r>
        <w:rPr>
          <w:rFonts w:hint="eastAsia" w:ascii="方正仿宋_GBK" w:hAnsi="仿宋" w:eastAsia="仿宋" w:cs="仿宋"/>
          <w:color w:val="auto"/>
          <w:kern w:val="0"/>
          <w:szCs w:val="28"/>
          <w:highlight w:val="none"/>
        </w:rPr>
        <w:t>说明：供应商按“多证合一”登记制度办理营业执照的，税务登记证（副本）和社会保险登记证以供应商所提供的法人营业执照（副本）复印件为准。</w:t>
      </w:r>
    </w:p>
    <w:p>
      <w:pPr>
        <w:tabs>
          <w:tab w:val="left" w:pos="6300"/>
        </w:tabs>
        <w:snapToGrid w:val="0"/>
        <w:spacing w:line="520" w:lineRule="exact"/>
        <w:ind w:firstLine="438" w:firstLineChars="200"/>
        <w:jc w:val="left"/>
        <w:rPr>
          <w:rFonts w:ascii="方正仿宋_GBK" w:hAnsi="仿宋" w:eastAsia="仿宋" w:cs="仿宋"/>
          <w:color w:val="auto"/>
          <w:kern w:val="0"/>
          <w:szCs w:val="28"/>
          <w:highlight w:val="none"/>
        </w:rPr>
      </w:pPr>
    </w:p>
    <w:p>
      <w:pPr>
        <w:tabs>
          <w:tab w:val="left" w:pos="6300"/>
        </w:tabs>
        <w:snapToGrid w:val="0"/>
        <w:spacing w:line="520" w:lineRule="exact"/>
        <w:jc w:val="both"/>
        <w:rPr>
          <w:rFonts w:eastAsia="仿宋"/>
          <w:color w:val="auto"/>
          <w:highlight w:val="none"/>
        </w:rPr>
      </w:pPr>
    </w:p>
    <w:sectPr>
      <w:pgSz w:w="11907" w:h="16840"/>
      <w:pgMar w:top="1134" w:right="1191" w:bottom="1134" w:left="1304" w:header="794" w:footer="992" w:gutter="0"/>
      <w:pgBorders>
        <w:top w:val="none" w:sz="0" w:space="0"/>
        <w:left w:val="none" w:sz="0" w:space="0"/>
        <w:bottom w:val="none" w:sz="0" w:space="0"/>
        <w:right w:val="none" w:sz="0" w:space="0"/>
      </w:pgBorders>
      <w:pgNumType w:fmt="decimal"/>
      <w:cols w:space="720" w:num="1"/>
      <w:docGrid w:type="linesAndChars" w:linePitch="393" w:charSpace="-4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28"/>
        <w:rFonts w:eastAsia="仿宋"/>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7K3n/gAQAAu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p>
    <w:pPr>
      <w:pStyle w:val="14"/>
      <w:ind w:right="360"/>
      <w:rPr>
        <w:rFonts w:eastAsia="仿宋"/>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3"/>
      <w:rPr>
        <w:rFonts w:eastAsia="仿宋"/>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eastAsia="仿宋"/>
                              <w:sz w:val="18"/>
                            </w:rPr>
                          </w:pPr>
                          <w:r>
                            <w:rPr>
                              <w:rFonts w:hint="eastAsia" w:eastAsia="仿宋"/>
                              <w:sz w:val="18"/>
                            </w:rPr>
                            <w:fldChar w:fldCharType="begin"/>
                          </w:r>
                          <w:r>
                            <w:rPr>
                              <w:rFonts w:hint="eastAsia" w:eastAsia="仿宋"/>
                              <w:sz w:val="18"/>
                            </w:rPr>
                            <w:instrText xml:space="preserve"> PAGE  \* MERGEFORMAT </w:instrText>
                          </w:r>
                          <w:r>
                            <w:rPr>
                              <w:rFonts w:hint="eastAsia" w:eastAsia="仿宋"/>
                              <w:sz w:val="18"/>
                            </w:rPr>
                            <w:fldChar w:fldCharType="separate"/>
                          </w:r>
                          <w:r>
                            <w:rPr>
                              <w:rFonts w:eastAsia="仿宋"/>
                              <w:sz w:val="18"/>
                            </w:rPr>
                            <w:t>4</w:t>
                          </w:r>
                          <w:r>
                            <w:rPr>
                              <w:rFonts w:hint="eastAsia" w:eastAsia="仿宋"/>
                              <w:sz w:val="1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MHh80BAACo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1X&#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iMHh80BAACoAwAADgAAAAAAAAABACAAAAAeAQAAZHJzL2Uy&#10;b0RvYy54bWxQSwUGAAAAAAYABgBZAQAAXQUAAAAA&#10;">
              <v:fill on="f" focussize="0,0"/>
              <v:stroke on="f"/>
              <v:imagedata o:title=""/>
              <o:lock v:ext="edit" aspectratio="f"/>
              <v:textbox inset="0mm,0mm,0mm,0mm" style="mso-fit-shape-to-text:t;">
                <w:txbxContent>
                  <w:p>
                    <w:pPr>
                      <w:snapToGrid w:val="0"/>
                      <w:rPr>
                        <w:rFonts w:eastAsia="仿宋"/>
                        <w:sz w:val="18"/>
                      </w:rPr>
                    </w:pPr>
                    <w:r>
                      <w:rPr>
                        <w:rFonts w:hint="eastAsia" w:eastAsia="仿宋"/>
                        <w:sz w:val="18"/>
                      </w:rPr>
                      <w:fldChar w:fldCharType="begin"/>
                    </w:r>
                    <w:r>
                      <w:rPr>
                        <w:rFonts w:hint="eastAsia" w:eastAsia="仿宋"/>
                        <w:sz w:val="18"/>
                      </w:rPr>
                      <w:instrText xml:space="preserve"> PAGE  \* MERGEFORMAT </w:instrText>
                    </w:r>
                    <w:r>
                      <w:rPr>
                        <w:rFonts w:hint="eastAsia" w:eastAsia="仿宋"/>
                        <w:sz w:val="18"/>
                      </w:rPr>
                      <w:fldChar w:fldCharType="separate"/>
                    </w:r>
                    <w:r>
                      <w:rPr>
                        <w:rFonts w:eastAsia="仿宋"/>
                        <w:sz w:val="18"/>
                      </w:rPr>
                      <w:t>4</w:t>
                    </w:r>
                    <w:r>
                      <w:rPr>
                        <w:rFonts w:hint="eastAsia" w:eastAsia="仿宋"/>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SmT80BAACoAwAADgAAAGRycy9lMm9Eb2MueG1srVPNjtMwEL4j8Q6W&#10;7zRpE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fJl&#10;0qcPWFHZXaDCOLz1A23NHEcKJtpDCzZ9iRCjPKl7vqqrhshkurRerdclpSTlZofwi4frATC+U96y&#10;ZNQc6PmyquL0AeNYOpekbs7famPyExr3V4Awx4jKOzDdTkzGiZMVh/0w0dv75kzsetqDmjtae87M&#10;e0cyp5WZDZiN/WwcA+hDl3cqdcfw5hhppDxp6jDCEsPk0ANmrtOypQ35089VD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YSmT80BAACoAwAADgAAAAAAAAABACAAAAAeAQAAZHJzL2Uy&#10;b0RvYy54bWxQSwUGAAAAAAYABgBZAQAAXQ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方正仿宋_GBK" w:hAnsi="方正仿宋_GBK" w:eastAsia="仿宋" w:cs="方正仿宋_GBK"/>
        <w:sz w:val="21"/>
        <w:szCs w:val="21"/>
      </w:rPr>
    </w:pPr>
    <w:r>
      <w:rPr>
        <w:rFonts w:hint="eastAsia" w:ascii="方正仿宋_GBK" w:hAnsi="方正仿宋_GBK" w:eastAsia="仿宋" w:cs="方正仿宋_GBK"/>
        <w:sz w:val="21"/>
        <w:szCs w:val="21"/>
      </w:rPr>
      <w:t>重庆市巴南区</w:t>
    </w:r>
    <w:r>
      <w:rPr>
        <w:rFonts w:hint="eastAsia" w:ascii="方正仿宋_GBK" w:hAnsi="方正仿宋_GBK" w:eastAsia="仿宋" w:cs="方正仿宋_GBK"/>
        <w:sz w:val="21"/>
        <w:szCs w:val="21"/>
        <w:lang w:eastAsia="zh-CN"/>
      </w:rPr>
      <w:t>第二人民医院</w:t>
    </w:r>
    <w:r>
      <w:rPr>
        <w:rFonts w:hint="eastAsia" w:ascii="方正仿宋_GBK" w:hAnsi="方正仿宋_GBK" w:eastAsia="仿宋" w:cs="方正仿宋_GBK"/>
        <w:sz w:val="21"/>
        <w:szCs w:val="21"/>
      </w:rPr>
      <w:t xml:space="preserve">                                                  </w:t>
    </w:r>
    <w:r>
      <w:rPr>
        <w:rFonts w:hint="eastAsia" w:ascii="方正仿宋_GBK" w:hAnsi="方正仿宋_GBK" w:eastAsia="仿宋" w:cs="方正仿宋_GBK"/>
        <w:sz w:val="21"/>
        <w:szCs w:val="21"/>
        <w:lang w:eastAsia="zh-CN"/>
      </w:rPr>
      <w:t>竞争性磋商</w:t>
    </w:r>
    <w:r>
      <w:rPr>
        <w:rFonts w:hint="eastAsia" w:ascii="方正仿宋_GBK" w:hAnsi="方正仿宋_GBK" w:eastAsia="仿宋" w:cs="方正仿宋_GBK"/>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05" w:firstLineChars="50"/>
      <w:jc w:val="both"/>
      <w:rPr>
        <w:rFonts w:ascii="仿宋" w:hAnsi="仿宋" w:eastAsia="仿宋" w:cs="仿宋"/>
      </w:rPr>
    </w:pPr>
    <w:r>
      <w:rPr>
        <w:rFonts w:hint="eastAsia" w:ascii="仿宋" w:hAnsi="仿宋" w:eastAsia="仿宋" w:cs="仿宋"/>
        <w:sz w:val="21"/>
        <w:szCs w:val="21"/>
      </w:rPr>
      <w:t>重庆市巴南区</w:t>
    </w:r>
    <w:r>
      <w:rPr>
        <w:rFonts w:hint="eastAsia" w:ascii="仿宋" w:hAnsi="仿宋" w:eastAsia="仿宋" w:cs="仿宋"/>
        <w:sz w:val="21"/>
        <w:szCs w:val="21"/>
        <w:lang w:eastAsia="zh-CN"/>
      </w:rPr>
      <w:t>第二人民医院</w:t>
    </w:r>
    <w:r>
      <w:rPr>
        <w:rFonts w:hint="eastAsia" w:ascii="仿宋" w:hAnsi="仿宋" w:eastAsia="仿宋" w:cs="仿宋"/>
        <w:sz w:val="21"/>
        <w:szCs w:val="21"/>
      </w:rPr>
      <w:t xml:space="preserve">                                                 </w:t>
    </w:r>
    <w:r>
      <w:rPr>
        <w:rFonts w:hint="eastAsia" w:ascii="方正仿宋_GBK" w:hAnsi="方正仿宋_GBK" w:eastAsia="仿宋" w:cs="方正仿宋_GBK"/>
        <w:sz w:val="21"/>
        <w:szCs w:val="21"/>
        <w:lang w:eastAsia="zh-CN"/>
      </w:rPr>
      <w:t>竞争性磋商</w:t>
    </w:r>
    <w:r>
      <w:rPr>
        <w:rFonts w:hint="eastAsia" w:ascii="方正仿宋_GBK" w:hAnsi="方正仿宋_GBK" w:eastAsia="仿宋" w:cs="方正仿宋_GBK"/>
        <w:sz w:val="21"/>
        <w:szCs w:val="21"/>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方正仿宋_GBK"/>
        <w:sz w:val="21"/>
        <w:szCs w:val="21"/>
      </w:rPr>
    </w:pPr>
    <w:r>
      <w:rPr>
        <w:rFonts w:hint="eastAsia" w:ascii="方正仿宋_GBK"/>
        <w:sz w:val="21"/>
        <w:szCs w:val="21"/>
      </w:rPr>
      <w:t xml:space="preserve"> </w:t>
    </w:r>
    <w:r>
      <w:rPr>
        <w:rFonts w:hint="eastAsia" w:ascii="方正仿宋_GBK"/>
        <w:sz w:val="21"/>
        <w:szCs w:val="21"/>
        <w:lang w:eastAsia="zh-CN"/>
      </w:rPr>
      <w:t>重庆市巴南区第二人民医院</w:t>
    </w:r>
    <w:r>
      <w:rPr>
        <w:rFonts w:hint="eastAsia" w:ascii="方正仿宋_GBK"/>
        <w:sz w:val="21"/>
        <w:szCs w:val="21"/>
      </w:rPr>
      <w:t xml:space="preserve">                                                 </w:t>
    </w:r>
    <w:r>
      <w:rPr>
        <w:rFonts w:hint="eastAsia" w:ascii="方正仿宋_GBK"/>
        <w:sz w:val="21"/>
        <w:szCs w:val="21"/>
        <w:lang w:eastAsia="zh-CN"/>
      </w:rPr>
      <w:t>竞争性磋商</w:t>
    </w:r>
    <w:r>
      <w:rPr>
        <w:rFonts w:hint="eastAsia" w:ascii="方正仿宋_GBK"/>
        <w:sz w:val="21"/>
        <w:szCs w:val="21"/>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YWFmM2VmNDFlNzQ3MDg1M2E2MmM4NzliZjYzZTYifQ=="/>
  </w:docVars>
  <w:rsids>
    <w:rsidRoot w:val="40C93C2C"/>
    <w:rsid w:val="00001BBA"/>
    <w:rsid w:val="0003371E"/>
    <w:rsid w:val="00035579"/>
    <w:rsid w:val="000443FC"/>
    <w:rsid w:val="00047F4D"/>
    <w:rsid w:val="00072066"/>
    <w:rsid w:val="000738D8"/>
    <w:rsid w:val="00075943"/>
    <w:rsid w:val="00077897"/>
    <w:rsid w:val="0008284F"/>
    <w:rsid w:val="00091FEA"/>
    <w:rsid w:val="000965EE"/>
    <w:rsid w:val="000B2480"/>
    <w:rsid w:val="000C3D09"/>
    <w:rsid w:val="000D3AFA"/>
    <w:rsid w:val="000F145F"/>
    <w:rsid w:val="000F3332"/>
    <w:rsid w:val="00155303"/>
    <w:rsid w:val="0015548F"/>
    <w:rsid w:val="00162C52"/>
    <w:rsid w:val="001704A3"/>
    <w:rsid w:val="0018549B"/>
    <w:rsid w:val="0019140F"/>
    <w:rsid w:val="001957E0"/>
    <w:rsid w:val="00196664"/>
    <w:rsid w:val="00196F1F"/>
    <w:rsid w:val="001A5733"/>
    <w:rsid w:val="001A5A7D"/>
    <w:rsid w:val="001B02F0"/>
    <w:rsid w:val="001E30C4"/>
    <w:rsid w:val="002034BC"/>
    <w:rsid w:val="00203AED"/>
    <w:rsid w:val="002231E8"/>
    <w:rsid w:val="00237EBB"/>
    <w:rsid w:val="00244B36"/>
    <w:rsid w:val="00250893"/>
    <w:rsid w:val="00271429"/>
    <w:rsid w:val="00287DC0"/>
    <w:rsid w:val="00292A24"/>
    <w:rsid w:val="002B01E8"/>
    <w:rsid w:val="002B38BB"/>
    <w:rsid w:val="002B48D7"/>
    <w:rsid w:val="002B7C8D"/>
    <w:rsid w:val="002C6518"/>
    <w:rsid w:val="002D170A"/>
    <w:rsid w:val="002D744B"/>
    <w:rsid w:val="002E6741"/>
    <w:rsid w:val="002F7DBC"/>
    <w:rsid w:val="0030015C"/>
    <w:rsid w:val="0030371C"/>
    <w:rsid w:val="0031205E"/>
    <w:rsid w:val="0031364C"/>
    <w:rsid w:val="00326D37"/>
    <w:rsid w:val="00330559"/>
    <w:rsid w:val="003479AD"/>
    <w:rsid w:val="00351DD2"/>
    <w:rsid w:val="00353FA3"/>
    <w:rsid w:val="00354EF3"/>
    <w:rsid w:val="003578DA"/>
    <w:rsid w:val="00362C84"/>
    <w:rsid w:val="00371609"/>
    <w:rsid w:val="003743E3"/>
    <w:rsid w:val="00384A9F"/>
    <w:rsid w:val="003B5524"/>
    <w:rsid w:val="003C795A"/>
    <w:rsid w:val="003D30BD"/>
    <w:rsid w:val="003E49B8"/>
    <w:rsid w:val="003F7D1E"/>
    <w:rsid w:val="00414057"/>
    <w:rsid w:val="00424CB3"/>
    <w:rsid w:val="00442E69"/>
    <w:rsid w:val="00467A37"/>
    <w:rsid w:val="0049085A"/>
    <w:rsid w:val="0049374C"/>
    <w:rsid w:val="004B3077"/>
    <w:rsid w:val="004D55F7"/>
    <w:rsid w:val="0050657D"/>
    <w:rsid w:val="005074DD"/>
    <w:rsid w:val="0054634E"/>
    <w:rsid w:val="005622EB"/>
    <w:rsid w:val="005823DE"/>
    <w:rsid w:val="005A00D4"/>
    <w:rsid w:val="005B00B3"/>
    <w:rsid w:val="005B77C1"/>
    <w:rsid w:val="005C006D"/>
    <w:rsid w:val="005E7EF2"/>
    <w:rsid w:val="006035B7"/>
    <w:rsid w:val="00665054"/>
    <w:rsid w:val="0066726E"/>
    <w:rsid w:val="00674183"/>
    <w:rsid w:val="00674CFD"/>
    <w:rsid w:val="0067578E"/>
    <w:rsid w:val="0068337C"/>
    <w:rsid w:val="00696CB4"/>
    <w:rsid w:val="006B38B0"/>
    <w:rsid w:val="006B6641"/>
    <w:rsid w:val="006D3EE4"/>
    <w:rsid w:val="006E135B"/>
    <w:rsid w:val="006E175F"/>
    <w:rsid w:val="006F7C3C"/>
    <w:rsid w:val="00700B00"/>
    <w:rsid w:val="00704233"/>
    <w:rsid w:val="00717EFB"/>
    <w:rsid w:val="00726C37"/>
    <w:rsid w:val="0073106B"/>
    <w:rsid w:val="007310B9"/>
    <w:rsid w:val="00733234"/>
    <w:rsid w:val="00745222"/>
    <w:rsid w:val="00756185"/>
    <w:rsid w:val="00771795"/>
    <w:rsid w:val="0079473D"/>
    <w:rsid w:val="007A6ED9"/>
    <w:rsid w:val="007C0407"/>
    <w:rsid w:val="007C146F"/>
    <w:rsid w:val="007C1F10"/>
    <w:rsid w:val="007D100F"/>
    <w:rsid w:val="007D40D3"/>
    <w:rsid w:val="007D515D"/>
    <w:rsid w:val="007D63FC"/>
    <w:rsid w:val="008049A0"/>
    <w:rsid w:val="008113DC"/>
    <w:rsid w:val="0081340A"/>
    <w:rsid w:val="00820D07"/>
    <w:rsid w:val="0084747E"/>
    <w:rsid w:val="00862CFE"/>
    <w:rsid w:val="00862FEF"/>
    <w:rsid w:val="00864E02"/>
    <w:rsid w:val="0087480F"/>
    <w:rsid w:val="00875DC9"/>
    <w:rsid w:val="00884CCB"/>
    <w:rsid w:val="00886203"/>
    <w:rsid w:val="00890337"/>
    <w:rsid w:val="008A6766"/>
    <w:rsid w:val="008B0511"/>
    <w:rsid w:val="008D0817"/>
    <w:rsid w:val="008D4BA3"/>
    <w:rsid w:val="008F7580"/>
    <w:rsid w:val="00902E9F"/>
    <w:rsid w:val="00921417"/>
    <w:rsid w:val="0092188F"/>
    <w:rsid w:val="00923ED6"/>
    <w:rsid w:val="00932200"/>
    <w:rsid w:val="00932D42"/>
    <w:rsid w:val="00984BFA"/>
    <w:rsid w:val="009C2CF6"/>
    <w:rsid w:val="009C4A09"/>
    <w:rsid w:val="009E004F"/>
    <w:rsid w:val="009E0760"/>
    <w:rsid w:val="00A13559"/>
    <w:rsid w:val="00A305A2"/>
    <w:rsid w:val="00A34F4D"/>
    <w:rsid w:val="00A41599"/>
    <w:rsid w:val="00A443B5"/>
    <w:rsid w:val="00A50462"/>
    <w:rsid w:val="00A51D28"/>
    <w:rsid w:val="00A57038"/>
    <w:rsid w:val="00A8111E"/>
    <w:rsid w:val="00A8118D"/>
    <w:rsid w:val="00A82E14"/>
    <w:rsid w:val="00A94272"/>
    <w:rsid w:val="00A95A43"/>
    <w:rsid w:val="00AA38C0"/>
    <w:rsid w:val="00AA5503"/>
    <w:rsid w:val="00AB3664"/>
    <w:rsid w:val="00AB7083"/>
    <w:rsid w:val="00AC02E8"/>
    <w:rsid w:val="00AE5CF8"/>
    <w:rsid w:val="00B00AB4"/>
    <w:rsid w:val="00B0219D"/>
    <w:rsid w:val="00B175C0"/>
    <w:rsid w:val="00B25671"/>
    <w:rsid w:val="00B54DF7"/>
    <w:rsid w:val="00B66180"/>
    <w:rsid w:val="00B81526"/>
    <w:rsid w:val="00BA3F67"/>
    <w:rsid w:val="00BA5F5E"/>
    <w:rsid w:val="00BD4D45"/>
    <w:rsid w:val="00BD5979"/>
    <w:rsid w:val="00BE72CD"/>
    <w:rsid w:val="00BE7A5D"/>
    <w:rsid w:val="00C013F9"/>
    <w:rsid w:val="00C03ADA"/>
    <w:rsid w:val="00C049B6"/>
    <w:rsid w:val="00C04C3D"/>
    <w:rsid w:val="00C402DB"/>
    <w:rsid w:val="00C517B3"/>
    <w:rsid w:val="00C7605F"/>
    <w:rsid w:val="00C82D92"/>
    <w:rsid w:val="00C849C0"/>
    <w:rsid w:val="00CB137E"/>
    <w:rsid w:val="00CB4E76"/>
    <w:rsid w:val="00CC21EC"/>
    <w:rsid w:val="00CC3F89"/>
    <w:rsid w:val="00CC6C95"/>
    <w:rsid w:val="00CD49F7"/>
    <w:rsid w:val="00CD582A"/>
    <w:rsid w:val="00CD5D73"/>
    <w:rsid w:val="00D0530C"/>
    <w:rsid w:val="00D05AD7"/>
    <w:rsid w:val="00D076D5"/>
    <w:rsid w:val="00D46D8F"/>
    <w:rsid w:val="00D52E5D"/>
    <w:rsid w:val="00D5361A"/>
    <w:rsid w:val="00D72445"/>
    <w:rsid w:val="00D87E8E"/>
    <w:rsid w:val="00DB25CA"/>
    <w:rsid w:val="00DB2D52"/>
    <w:rsid w:val="00DC3F03"/>
    <w:rsid w:val="00DC532D"/>
    <w:rsid w:val="00DC6508"/>
    <w:rsid w:val="00DE32B6"/>
    <w:rsid w:val="00DF1062"/>
    <w:rsid w:val="00DF1847"/>
    <w:rsid w:val="00DF7A42"/>
    <w:rsid w:val="00E06F19"/>
    <w:rsid w:val="00E12D8A"/>
    <w:rsid w:val="00E13392"/>
    <w:rsid w:val="00E16C43"/>
    <w:rsid w:val="00E40A9E"/>
    <w:rsid w:val="00E43A43"/>
    <w:rsid w:val="00E51082"/>
    <w:rsid w:val="00E52C06"/>
    <w:rsid w:val="00E66588"/>
    <w:rsid w:val="00E71BDF"/>
    <w:rsid w:val="00E8640D"/>
    <w:rsid w:val="00E93BC4"/>
    <w:rsid w:val="00E96A85"/>
    <w:rsid w:val="00ED18D5"/>
    <w:rsid w:val="00ED477A"/>
    <w:rsid w:val="00ED7017"/>
    <w:rsid w:val="00EE1F3A"/>
    <w:rsid w:val="00EF0562"/>
    <w:rsid w:val="00F07145"/>
    <w:rsid w:val="00F24690"/>
    <w:rsid w:val="00F43F91"/>
    <w:rsid w:val="00F53786"/>
    <w:rsid w:val="00F64C81"/>
    <w:rsid w:val="00F926E3"/>
    <w:rsid w:val="00FA1382"/>
    <w:rsid w:val="00FC40FB"/>
    <w:rsid w:val="00FE25D2"/>
    <w:rsid w:val="00FE39D0"/>
    <w:rsid w:val="010279D9"/>
    <w:rsid w:val="014F2BF9"/>
    <w:rsid w:val="0157524E"/>
    <w:rsid w:val="015A1C08"/>
    <w:rsid w:val="01677D22"/>
    <w:rsid w:val="01760AB5"/>
    <w:rsid w:val="01767DF0"/>
    <w:rsid w:val="018B0415"/>
    <w:rsid w:val="01C410ED"/>
    <w:rsid w:val="01F066C2"/>
    <w:rsid w:val="01F55610"/>
    <w:rsid w:val="02016651"/>
    <w:rsid w:val="02420537"/>
    <w:rsid w:val="02484769"/>
    <w:rsid w:val="02601145"/>
    <w:rsid w:val="0280123D"/>
    <w:rsid w:val="028A36E5"/>
    <w:rsid w:val="02A02677"/>
    <w:rsid w:val="02B61B42"/>
    <w:rsid w:val="02E13F6D"/>
    <w:rsid w:val="02F0290C"/>
    <w:rsid w:val="0308478D"/>
    <w:rsid w:val="03525480"/>
    <w:rsid w:val="0364408B"/>
    <w:rsid w:val="038F5556"/>
    <w:rsid w:val="03B17B3C"/>
    <w:rsid w:val="03E33B8C"/>
    <w:rsid w:val="03FC7332"/>
    <w:rsid w:val="03FE21F6"/>
    <w:rsid w:val="041F595C"/>
    <w:rsid w:val="04253776"/>
    <w:rsid w:val="0432516C"/>
    <w:rsid w:val="043D1336"/>
    <w:rsid w:val="044755B3"/>
    <w:rsid w:val="044817B9"/>
    <w:rsid w:val="044E0C6E"/>
    <w:rsid w:val="04634C76"/>
    <w:rsid w:val="04784101"/>
    <w:rsid w:val="047C69AB"/>
    <w:rsid w:val="04887AAC"/>
    <w:rsid w:val="048E150A"/>
    <w:rsid w:val="04B750FF"/>
    <w:rsid w:val="04C63186"/>
    <w:rsid w:val="04DA1B93"/>
    <w:rsid w:val="04E119F2"/>
    <w:rsid w:val="04F17CDF"/>
    <w:rsid w:val="04FD1264"/>
    <w:rsid w:val="050749F2"/>
    <w:rsid w:val="05150164"/>
    <w:rsid w:val="051667F9"/>
    <w:rsid w:val="054264E4"/>
    <w:rsid w:val="054B1622"/>
    <w:rsid w:val="054C57E7"/>
    <w:rsid w:val="057250EE"/>
    <w:rsid w:val="057F564B"/>
    <w:rsid w:val="058F4061"/>
    <w:rsid w:val="05956E68"/>
    <w:rsid w:val="05A416E1"/>
    <w:rsid w:val="05A5042F"/>
    <w:rsid w:val="05AD31CE"/>
    <w:rsid w:val="05B97F22"/>
    <w:rsid w:val="05CE632E"/>
    <w:rsid w:val="05D07EE5"/>
    <w:rsid w:val="061640A4"/>
    <w:rsid w:val="0633527A"/>
    <w:rsid w:val="0648044E"/>
    <w:rsid w:val="066261CA"/>
    <w:rsid w:val="06634C7E"/>
    <w:rsid w:val="06792DD5"/>
    <w:rsid w:val="067E7DEF"/>
    <w:rsid w:val="069947CA"/>
    <w:rsid w:val="06CE1AAF"/>
    <w:rsid w:val="06DA7052"/>
    <w:rsid w:val="06F62DD7"/>
    <w:rsid w:val="06F66EA1"/>
    <w:rsid w:val="07255051"/>
    <w:rsid w:val="072F431D"/>
    <w:rsid w:val="07310258"/>
    <w:rsid w:val="0757791A"/>
    <w:rsid w:val="07690DCB"/>
    <w:rsid w:val="07737A50"/>
    <w:rsid w:val="077869DB"/>
    <w:rsid w:val="077E496D"/>
    <w:rsid w:val="079917ED"/>
    <w:rsid w:val="079B3A16"/>
    <w:rsid w:val="07B83A96"/>
    <w:rsid w:val="07B96411"/>
    <w:rsid w:val="07D37FD5"/>
    <w:rsid w:val="07E459B1"/>
    <w:rsid w:val="07F44CA4"/>
    <w:rsid w:val="080816EE"/>
    <w:rsid w:val="080A7480"/>
    <w:rsid w:val="080D7A6E"/>
    <w:rsid w:val="083657FB"/>
    <w:rsid w:val="08381F25"/>
    <w:rsid w:val="08385375"/>
    <w:rsid w:val="083D27F3"/>
    <w:rsid w:val="08426019"/>
    <w:rsid w:val="08447953"/>
    <w:rsid w:val="08545A1E"/>
    <w:rsid w:val="086069BB"/>
    <w:rsid w:val="086A6A25"/>
    <w:rsid w:val="0884738C"/>
    <w:rsid w:val="088578D6"/>
    <w:rsid w:val="08897A3F"/>
    <w:rsid w:val="08B639AB"/>
    <w:rsid w:val="08B931D6"/>
    <w:rsid w:val="08FE7A50"/>
    <w:rsid w:val="090717EE"/>
    <w:rsid w:val="092B1932"/>
    <w:rsid w:val="094E33C8"/>
    <w:rsid w:val="094F62FF"/>
    <w:rsid w:val="09504B83"/>
    <w:rsid w:val="09545647"/>
    <w:rsid w:val="09574FC9"/>
    <w:rsid w:val="09707B94"/>
    <w:rsid w:val="0971450C"/>
    <w:rsid w:val="09716C57"/>
    <w:rsid w:val="098965C9"/>
    <w:rsid w:val="09993053"/>
    <w:rsid w:val="09AA4B46"/>
    <w:rsid w:val="09AA55A6"/>
    <w:rsid w:val="09BB2234"/>
    <w:rsid w:val="09DD6F59"/>
    <w:rsid w:val="09F139B6"/>
    <w:rsid w:val="0A0B6679"/>
    <w:rsid w:val="0A147E07"/>
    <w:rsid w:val="0A3F501F"/>
    <w:rsid w:val="0A41307A"/>
    <w:rsid w:val="0A6B1B3B"/>
    <w:rsid w:val="0A6B46B7"/>
    <w:rsid w:val="0A8E517A"/>
    <w:rsid w:val="0A916B10"/>
    <w:rsid w:val="0A9D0E4A"/>
    <w:rsid w:val="0AE24125"/>
    <w:rsid w:val="0B046A7D"/>
    <w:rsid w:val="0B106A66"/>
    <w:rsid w:val="0B1A6417"/>
    <w:rsid w:val="0B1F2B63"/>
    <w:rsid w:val="0B281DDC"/>
    <w:rsid w:val="0B37498A"/>
    <w:rsid w:val="0B4A0702"/>
    <w:rsid w:val="0B565A87"/>
    <w:rsid w:val="0B565E12"/>
    <w:rsid w:val="0B731D84"/>
    <w:rsid w:val="0B782745"/>
    <w:rsid w:val="0B7A6950"/>
    <w:rsid w:val="0B890535"/>
    <w:rsid w:val="0B9569A0"/>
    <w:rsid w:val="0B981162"/>
    <w:rsid w:val="0BBA00D3"/>
    <w:rsid w:val="0BBA6364"/>
    <w:rsid w:val="0BC33CF1"/>
    <w:rsid w:val="0BD14CC5"/>
    <w:rsid w:val="0C1A35AD"/>
    <w:rsid w:val="0C2301DA"/>
    <w:rsid w:val="0C271F1A"/>
    <w:rsid w:val="0C2A1865"/>
    <w:rsid w:val="0C2D4207"/>
    <w:rsid w:val="0C4135AB"/>
    <w:rsid w:val="0C535558"/>
    <w:rsid w:val="0C653B44"/>
    <w:rsid w:val="0C8274E1"/>
    <w:rsid w:val="0C947A74"/>
    <w:rsid w:val="0CA060DB"/>
    <w:rsid w:val="0CAA6660"/>
    <w:rsid w:val="0CDB38BE"/>
    <w:rsid w:val="0CEB6E50"/>
    <w:rsid w:val="0D123DAD"/>
    <w:rsid w:val="0D2678EF"/>
    <w:rsid w:val="0D2C1440"/>
    <w:rsid w:val="0D3D3362"/>
    <w:rsid w:val="0D4C6C38"/>
    <w:rsid w:val="0D637261"/>
    <w:rsid w:val="0D6A6D48"/>
    <w:rsid w:val="0D7936EE"/>
    <w:rsid w:val="0D8D79D7"/>
    <w:rsid w:val="0DA755E0"/>
    <w:rsid w:val="0DB959FB"/>
    <w:rsid w:val="0DC0699C"/>
    <w:rsid w:val="0DC87EB8"/>
    <w:rsid w:val="0DCF2E4D"/>
    <w:rsid w:val="0DD926DA"/>
    <w:rsid w:val="0DE021A4"/>
    <w:rsid w:val="0DE564AD"/>
    <w:rsid w:val="0E1645CD"/>
    <w:rsid w:val="0E296A53"/>
    <w:rsid w:val="0E371F9B"/>
    <w:rsid w:val="0E3A6F1A"/>
    <w:rsid w:val="0E3C0D54"/>
    <w:rsid w:val="0E3F63E9"/>
    <w:rsid w:val="0E566686"/>
    <w:rsid w:val="0E5C577C"/>
    <w:rsid w:val="0E616184"/>
    <w:rsid w:val="0E673C8D"/>
    <w:rsid w:val="0E6E4728"/>
    <w:rsid w:val="0E6F6BDF"/>
    <w:rsid w:val="0E9070CF"/>
    <w:rsid w:val="0EA77815"/>
    <w:rsid w:val="0EAB02E0"/>
    <w:rsid w:val="0EAE7D74"/>
    <w:rsid w:val="0EB16063"/>
    <w:rsid w:val="0EB96541"/>
    <w:rsid w:val="0EC50B88"/>
    <w:rsid w:val="0ED7162C"/>
    <w:rsid w:val="0EDC2F3B"/>
    <w:rsid w:val="0EE62986"/>
    <w:rsid w:val="0EF50F52"/>
    <w:rsid w:val="0F051D41"/>
    <w:rsid w:val="0F0778E1"/>
    <w:rsid w:val="0F2605FA"/>
    <w:rsid w:val="0F2B11BE"/>
    <w:rsid w:val="0F2C4D2D"/>
    <w:rsid w:val="0F2E2FD4"/>
    <w:rsid w:val="0F2E7E64"/>
    <w:rsid w:val="0F2F1258"/>
    <w:rsid w:val="0F311FF6"/>
    <w:rsid w:val="0F412B53"/>
    <w:rsid w:val="0F4168EE"/>
    <w:rsid w:val="0F501C09"/>
    <w:rsid w:val="0F5920DD"/>
    <w:rsid w:val="0F59233E"/>
    <w:rsid w:val="0F68792A"/>
    <w:rsid w:val="0F944496"/>
    <w:rsid w:val="0F9C5445"/>
    <w:rsid w:val="0FAB6F93"/>
    <w:rsid w:val="0FB06A76"/>
    <w:rsid w:val="0FB14946"/>
    <w:rsid w:val="0FB219ED"/>
    <w:rsid w:val="0FB90AE1"/>
    <w:rsid w:val="0FC75875"/>
    <w:rsid w:val="0FCE556B"/>
    <w:rsid w:val="0FD77509"/>
    <w:rsid w:val="0FF514D4"/>
    <w:rsid w:val="101A082E"/>
    <w:rsid w:val="103804C5"/>
    <w:rsid w:val="10441F3B"/>
    <w:rsid w:val="10512649"/>
    <w:rsid w:val="106557CD"/>
    <w:rsid w:val="10662F99"/>
    <w:rsid w:val="10665B03"/>
    <w:rsid w:val="106C6CC8"/>
    <w:rsid w:val="107416A2"/>
    <w:rsid w:val="107E0C99"/>
    <w:rsid w:val="1084225D"/>
    <w:rsid w:val="10906703"/>
    <w:rsid w:val="10935107"/>
    <w:rsid w:val="1097001C"/>
    <w:rsid w:val="10A54B90"/>
    <w:rsid w:val="10B23DB6"/>
    <w:rsid w:val="10C9030A"/>
    <w:rsid w:val="10C957B0"/>
    <w:rsid w:val="10D313A9"/>
    <w:rsid w:val="10EF6ECA"/>
    <w:rsid w:val="10F6418F"/>
    <w:rsid w:val="112E764C"/>
    <w:rsid w:val="114A07B2"/>
    <w:rsid w:val="115117C7"/>
    <w:rsid w:val="11522FB8"/>
    <w:rsid w:val="11755598"/>
    <w:rsid w:val="11777F12"/>
    <w:rsid w:val="11A27A3D"/>
    <w:rsid w:val="11A46BA8"/>
    <w:rsid w:val="11AB7F2F"/>
    <w:rsid w:val="11AF7974"/>
    <w:rsid w:val="11B07944"/>
    <w:rsid w:val="11B3004F"/>
    <w:rsid w:val="11B95D68"/>
    <w:rsid w:val="11D0607A"/>
    <w:rsid w:val="11F81312"/>
    <w:rsid w:val="1205621C"/>
    <w:rsid w:val="120B1CE1"/>
    <w:rsid w:val="12134D18"/>
    <w:rsid w:val="122D552A"/>
    <w:rsid w:val="12460326"/>
    <w:rsid w:val="12472C82"/>
    <w:rsid w:val="12590DDF"/>
    <w:rsid w:val="127A2C8B"/>
    <w:rsid w:val="127E28D0"/>
    <w:rsid w:val="1287113B"/>
    <w:rsid w:val="12A3680D"/>
    <w:rsid w:val="12BE74A2"/>
    <w:rsid w:val="12CC1A9F"/>
    <w:rsid w:val="12DE37CA"/>
    <w:rsid w:val="12E22A42"/>
    <w:rsid w:val="12F3489F"/>
    <w:rsid w:val="1319122A"/>
    <w:rsid w:val="13191FB4"/>
    <w:rsid w:val="131B1C0A"/>
    <w:rsid w:val="1326221F"/>
    <w:rsid w:val="1329211C"/>
    <w:rsid w:val="134767CE"/>
    <w:rsid w:val="13515C6F"/>
    <w:rsid w:val="135B2389"/>
    <w:rsid w:val="13646713"/>
    <w:rsid w:val="1369338C"/>
    <w:rsid w:val="13F60D71"/>
    <w:rsid w:val="14047920"/>
    <w:rsid w:val="141324B8"/>
    <w:rsid w:val="141A1344"/>
    <w:rsid w:val="142B21B3"/>
    <w:rsid w:val="142F1C51"/>
    <w:rsid w:val="1438137D"/>
    <w:rsid w:val="144357A0"/>
    <w:rsid w:val="14567CD7"/>
    <w:rsid w:val="14630F64"/>
    <w:rsid w:val="148C68FC"/>
    <w:rsid w:val="14AA0EF6"/>
    <w:rsid w:val="14B3676D"/>
    <w:rsid w:val="14C16DCA"/>
    <w:rsid w:val="14D03112"/>
    <w:rsid w:val="14DA3589"/>
    <w:rsid w:val="14E03344"/>
    <w:rsid w:val="14EC4497"/>
    <w:rsid w:val="14EC5133"/>
    <w:rsid w:val="14EF7735"/>
    <w:rsid w:val="15074CDC"/>
    <w:rsid w:val="15115034"/>
    <w:rsid w:val="15334DEF"/>
    <w:rsid w:val="15445C19"/>
    <w:rsid w:val="15465150"/>
    <w:rsid w:val="1570285F"/>
    <w:rsid w:val="15925129"/>
    <w:rsid w:val="15AE41BE"/>
    <w:rsid w:val="15C61793"/>
    <w:rsid w:val="15FB06EE"/>
    <w:rsid w:val="15FD18D8"/>
    <w:rsid w:val="161E429C"/>
    <w:rsid w:val="16443619"/>
    <w:rsid w:val="16500E7E"/>
    <w:rsid w:val="16636F9F"/>
    <w:rsid w:val="16876714"/>
    <w:rsid w:val="16931C57"/>
    <w:rsid w:val="16A8316B"/>
    <w:rsid w:val="16D827B4"/>
    <w:rsid w:val="16D86495"/>
    <w:rsid w:val="16DC3E6F"/>
    <w:rsid w:val="170B0999"/>
    <w:rsid w:val="17111E96"/>
    <w:rsid w:val="171B48F8"/>
    <w:rsid w:val="17384D65"/>
    <w:rsid w:val="174B278C"/>
    <w:rsid w:val="174D13DC"/>
    <w:rsid w:val="174F4176"/>
    <w:rsid w:val="17521752"/>
    <w:rsid w:val="175468B3"/>
    <w:rsid w:val="176C42C2"/>
    <w:rsid w:val="178831DB"/>
    <w:rsid w:val="178B727D"/>
    <w:rsid w:val="17915058"/>
    <w:rsid w:val="179B4647"/>
    <w:rsid w:val="17D91A12"/>
    <w:rsid w:val="17DC4AC3"/>
    <w:rsid w:val="17E801FE"/>
    <w:rsid w:val="17F80177"/>
    <w:rsid w:val="17F83F44"/>
    <w:rsid w:val="18003820"/>
    <w:rsid w:val="18016986"/>
    <w:rsid w:val="18083050"/>
    <w:rsid w:val="180C72BC"/>
    <w:rsid w:val="1828358E"/>
    <w:rsid w:val="18297C98"/>
    <w:rsid w:val="182A2EC1"/>
    <w:rsid w:val="1842004B"/>
    <w:rsid w:val="18450DB8"/>
    <w:rsid w:val="18471246"/>
    <w:rsid w:val="185E3E5E"/>
    <w:rsid w:val="18805CA9"/>
    <w:rsid w:val="18883AAC"/>
    <w:rsid w:val="189027F5"/>
    <w:rsid w:val="18961D72"/>
    <w:rsid w:val="18974E66"/>
    <w:rsid w:val="18AE05D8"/>
    <w:rsid w:val="18B20138"/>
    <w:rsid w:val="18F76F56"/>
    <w:rsid w:val="19003311"/>
    <w:rsid w:val="19633697"/>
    <w:rsid w:val="19696F3B"/>
    <w:rsid w:val="196E3277"/>
    <w:rsid w:val="19791782"/>
    <w:rsid w:val="19796783"/>
    <w:rsid w:val="19963B0C"/>
    <w:rsid w:val="19CE7E98"/>
    <w:rsid w:val="19DC2C4D"/>
    <w:rsid w:val="19EA1D92"/>
    <w:rsid w:val="19F631DB"/>
    <w:rsid w:val="19FD05C4"/>
    <w:rsid w:val="19FF2193"/>
    <w:rsid w:val="1A127975"/>
    <w:rsid w:val="1A35305B"/>
    <w:rsid w:val="1A3D4028"/>
    <w:rsid w:val="1A4B2512"/>
    <w:rsid w:val="1A4F6A6D"/>
    <w:rsid w:val="1A5B42E4"/>
    <w:rsid w:val="1A687285"/>
    <w:rsid w:val="1A7E0E74"/>
    <w:rsid w:val="1A8B167A"/>
    <w:rsid w:val="1A9255FF"/>
    <w:rsid w:val="1AA3538D"/>
    <w:rsid w:val="1ABD562B"/>
    <w:rsid w:val="1AC748A9"/>
    <w:rsid w:val="1ACD57D8"/>
    <w:rsid w:val="1ACF5964"/>
    <w:rsid w:val="1AD64380"/>
    <w:rsid w:val="1B201BA8"/>
    <w:rsid w:val="1B2F52C1"/>
    <w:rsid w:val="1B446A63"/>
    <w:rsid w:val="1B4861BC"/>
    <w:rsid w:val="1B5F3BA9"/>
    <w:rsid w:val="1B7C4CBC"/>
    <w:rsid w:val="1BA20319"/>
    <w:rsid w:val="1BA8064B"/>
    <w:rsid w:val="1BB31DC9"/>
    <w:rsid w:val="1BD546D0"/>
    <w:rsid w:val="1BD92CE5"/>
    <w:rsid w:val="1BE44770"/>
    <w:rsid w:val="1C390072"/>
    <w:rsid w:val="1C3E461E"/>
    <w:rsid w:val="1C440099"/>
    <w:rsid w:val="1C552CB4"/>
    <w:rsid w:val="1C5B535A"/>
    <w:rsid w:val="1C5D4700"/>
    <w:rsid w:val="1C6D3D32"/>
    <w:rsid w:val="1C6D6F90"/>
    <w:rsid w:val="1C714856"/>
    <w:rsid w:val="1CA2209A"/>
    <w:rsid w:val="1CB60284"/>
    <w:rsid w:val="1CC17CA3"/>
    <w:rsid w:val="1CE90020"/>
    <w:rsid w:val="1CEA6411"/>
    <w:rsid w:val="1D017EAC"/>
    <w:rsid w:val="1D024550"/>
    <w:rsid w:val="1D0C1AA0"/>
    <w:rsid w:val="1D0F7F68"/>
    <w:rsid w:val="1D211A07"/>
    <w:rsid w:val="1D2A6B5E"/>
    <w:rsid w:val="1D300695"/>
    <w:rsid w:val="1D404CCB"/>
    <w:rsid w:val="1D4C3EAC"/>
    <w:rsid w:val="1D640CBD"/>
    <w:rsid w:val="1D77128B"/>
    <w:rsid w:val="1D7A465E"/>
    <w:rsid w:val="1D90417C"/>
    <w:rsid w:val="1DA62814"/>
    <w:rsid w:val="1DAC7417"/>
    <w:rsid w:val="1DB0454D"/>
    <w:rsid w:val="1DBA3A88"/>
    <w:rsid w:val="1DDE688F"/>
    <w:rsid w:val="1DEA4B40"/>
    <w:rsid w:val="1DF96CE6"/>
    <w:rsid w:val="1E0C2468"/>
    <w:rsid w:val="1E100DEB"/>
    <w:rsid w:val="1E124355"/>
    <w:rsid w:val="1E1F5B59"/>
    <w:rsid w:val="1E246F2E"/>
    <w:rsid w:val="1E350532"/>
    <w:rsid w:val="1E3A4F0E"/>
    <w:rsid w:val="1E513EF5"/>
    <w:rsid w:val="1E5C14EF"/>
    <w:rsid w:val="1E605AC7"/>
    <w:rsid w:val="1E687E27"/>
    <w:rsid w:val="1E7770DE"/>
    <w:rsid w:val="1E7B4161"/>
    <w:rsid w:val="1E855897"/>
    <w:rsid w:val="1E8662A1"/>
    <w:rsid w:val="1E9274EE"/>
    <w:rsid w:val="1E976387"/>
    <w:rsid w:val="1EA05F78"/>
    <w:rsid w:val="1EA30377"/>
    <w:rsid w:val="1EAC5CF0"/>
    <w:rsid w:val="1EC61C90"/>
    <w:rsid w:val="1ED33DF7"/>
    <w:rsid w:val="1ED51EC0"/>
    <w:rsid w:val="1EDF2AC3"/>
    <w:rsid w:val="1EEC6C9C"/>
    <w:rsid w:val="1EED41C7"/>
    <w:rsid w:val="1EEF27F7"/>
    <w:rsid w:val="1EFF65BD"/>
    <w:rsid w:val="1F0301E8"/>
    <w:rsid w:val="1F0F4418"/>
    <w:rsid w:val="1F2450A2"/>
    <w:rsid w:val="1F266AF2"/>
    <w:rsid w:val="1F2921C1"/>
    <w:rsid w:val="1F423080"/>
    <w:rsid w:val="1F4A5A23"/>
    <w:rsid w:val="1F6208FA"/>
    <w:rsid w:val="1F795699"/>
    <w:rsid w:val="1F7D7B7E"/>
    <w:rsid w:val="1F8B00EC"/>
    <w:rsid w:val="1F8D2DEF"/>
    <w:rsid w:val="1F8D462E"/>
    <w:rsid w:val="1F980438"/>
    <w:rsid w:val="1FC032E1"/>
    <w:rsid w:val="1FD87ACC"/>
    <w:rsid w:val="1FD90556"/>
    <w:rsid w:val="1FE95A8A"/>
    <w:rsid w:val="1FEF0C77"/>
    <w:rsid w:val="1FFE3BAB"/>
    <w:rsid w:val="2010660D"/>
    <w:rsid w:val="2018367A"/>
    <w:rsid w:val="202145A8"/>
    <w:rsid w:val="20346975"/>
    <w:rsid w:val="20504D09"/>
    <w:rsid w:val="20562924"/>
    <w:rsid w:val="20564A23"/>
    <w:rsid w:val="20734217"/>
    <w:rsid w:val="209F46FC"/>
    <w:rsid w:val="20D5415D"/>
    <w:rsid w:val="20F420C9"/>
    <w:rsid w:val="210078FB"/>
    <w:rsid w:val="2111630E"/>
    <w:rsid w:val="212D3408"/>
    <w:rsid w:val="212F5663"/>
    <w:rsid w:val="213532BF"/>
    <w:rsid w:val="21364E40"/>
    <w:rsid w:val="21474A51"/>
    <w:rsid w:val="21481066"/>
    <w:rsid w:val="216960C8"/>
    <w:rsid w:val="2175028B"/>
    <w:rsid w:val="21812E44"/>
    <w:rsid w:val="21971541"/>
    <w:rsid w:val="21A168C8"/>
    <w:rsid w:val="21B646D2"/>
    <w:rsid w:val="21BF6616"/>
    <w:rsid w:val="21C31913"/>
    <w:rsid w:val="21CB5A7A"/>
    <w:rsid w:val="21CC3D94"/>
    <w:rsid w:val="21DD1C30"/>
    <w:rsid w:val="21EB17A7"/>
    <w:rsid w:val="22002E02"/>
    <w:rsid w:val="220E6AD5"/>
    <w:rsid w:val="221706BD"/>
    <w:rsid w:val="22194AE1"/>
    <w:rsid w:val="22430C86"/>
    <w:rsid w:val="225659D9"/>
    <w:rsid w:val="22655D72"/>
    <w:rsid w:val="227135F2"/>
    <w:rsid w:val="2287643A"/>
    <w:rsid w:val="228E7E33"/>
    <w:rsid w:val="229C1F7F"/>
    <w:rsid w:val="22BB71A9"/>
    <w:rsid w:val="22CD7333"/>
    <w:rsid w:val="22CE48AD"/>
    <w:rsid w:val="22D44DB6"/>
    <w:rsid w:val="22EE5736"/>
    <w:rsid w:val="23085EC2"/>
    <w:rsid w:val="230F1C77"/>
    <w:rsid w:val="231213A2"/>
    <w:rsid w:val="23292671"/>
    <w:rsid w:val="232E02AF"/>
    <w:rsid w:val="235258B9"/>
    <w:rsid w:val="23562E54"/>
    <w:rsid w:val="23897251"/>
    <w:rsid w:val="239A212D"/>
    <w:rsid w:val="23B01098"/>
    <w:rsid w:val="23BC7739"/>
    <w:rsid w:val="23D360E9"/>
    <w:rsid w:val="23DD275A"/>
    <w:rsid w:val="23E30CF5"/>
    <w:rsid w:val="23F31E65"/>
    <w:rsid w:val="23FA7418"/>
    <w:rsid w:val="240209F5"/>
    <w:rsid w:val="2403217D"/>
    <w:rsid w:val="24092638"/>
    <w:rsid w:val="240F5818"/>
    <w:rsid w:val="241F01FE"/>
    <w:rsid w:val="24281757"/>
    <w:rsid w:val="243D08AD"/>
    <w:rsid w:val="244A501D"/>
    <w:rsid w:val="245B6551"/>
    <w:rsid w:val="2463062C"/>
    <w:rsid w:val="246A6F49"/>
    <w:rsid w:val="247750E5"/>
    <w:rsid w:val="247A4326"/>
    <w:rsid w:val="24917AC6"/>
    <w:rsid w:val="24921F46"/>
    <w:rsid w:val="24992AB5"/>
    <w:rsid w:val="24A235F9"/>
    <w:rsid w:val="24A4255F"/>
    <w:rsid w:val="24B675AA"/>
    <w:rsid w:val="24C27401"/>
    <w:rsid w:val="24C70BDA"/>
    <w:rsid w:val="24F33B9B"/>
    <w:rsid w:val="24F546EC"/>
    <w:rsid w:val="24FB6E4C"/>
    <w:rsid w:val="25220CBC"/>
    <w:rsid w:val="25397F25"/>
    <w:rsid w:val="25632058"/>
    <w:rsid w:val="256539D3"/>
    <w:rsid w:val="257E0077"/>
    <w:rsid w:val="257E230E"/>
    <w:rsid w:val="25825111"/>
    <w:rsid w:val="25874688"/>
    <w:rsid w:val="258A783A"/>
    <w:rsid w:val="258B3340"/>
    <w:rsid w:val="25A378D6"/>
    <w:rsid w:val="25B94D9E"/>
    <w:rsid w:val="25BC4229"/>
    <w:rsid w:val="25CA270E"/>
    <w:rsid w:val="25D42D49"/>
    <w:rsid w:val="25E263A8"/>
    <w:rsid w:val="25E877BF"/>
    <w:rsid w:val="25E96F10"/>
    <w:rsid w:val="25F8138C"/>
    <w:rsid w:val="25FC2997"/>
    <w:rsid w:val="26270E8E"/>
    <w:rsid w:val="26527B3D"/>
    <w:rsid w:val="26843AD6"/>
    <w:rsid w:val="268D58C1"/>
    <w:rsid w:val="2697109A"/>
    <w:rsid w:val="269D6667"/>
    <w:rsid w:val="26BC2E63"/>
    <w:rsid w:val="26C70358"/>
    <w:rsid w:val="26DF5234"/>
    <w:rsid w:val="26E44315"/>
    <w:rsid w:val="26EE4A86"/>
    <w:rsid w:val="270B543C"/>
    <w:rsid w:val="271A6337"/>
    <w:rsid w:val="272E24A9"/>
    <w:rsid w:val="27613A74"/>
    <w:rsid w:val="27752467"/>
    <w:rsid w:val="27A1529D"/>
    <w:rsid w:val="27B33DDE"/>
    <w:rsid w:val="27B92300"/>
    <w:rsid w:val="27B92BBF"/>
    <w:rsid w:val="27DF19ED"/>
    <w:rsid w:val="27EA6EB0"/>
    <w:rsid w:val="280D5715"/>
    <w:rsid w:val="28193342"/>
    <w:rsid w:val="281E07FC"/>
    <w:rsid w:val="282D1F29"/>
    <w:rsid w:val="284517B7"/>
    <w:rsid w:val="285B5066"/>
    <w:rsid w:val="285F61BC"/>
    <w:rsid w:val="286A3619"/>
    <w:rsid w:val="287064B6"/>
    <w:rsid w:val="288C3C94"/>
    <w:rsid w:val="28940A2F"/>
    <w:rsid w:val="28B016EF"/>
    <w:rsid w:val="28BA0295"/>
    <w:rsid w:val="28CF6803"/>
    <w:rsid w:val="29204D4E"/>
    <w:rsid w:val="292F3DF1"/>
    <w:rsid w:val="293A08BB"/>
    <w:rsid w:val="29464541"/>
    <w:rsid w:val="294D0514"/>
    <w:rsid w:val="294F294E"/>
    <w:rsid w:val="2952265D"/>
    <w:rsid w:val="29571496"/>
    <w:rsid w:val="296A6FEC"/>
    <w:rsid w:val="2973273F"/>
    <w:rsid w:val="297C5933"/>
    <w:rsid w:val="29965195"/>
    <w:rsid w:val="29965A3F"/>
    <w:rsid w:val="299C5619"/>
    <w:rsid w:val="299D1471"/>
    <w:rsid w:val="299D30D3"/>
    <w:rsid w:val="29B70C98"/>
    <w:rsid w:val="29B751B5"/>
    <w:rsid w:val="29BE4971"/>
    <w:rsid w:val="29CC380C"/>
    <w:rsid w:val="29D3077C"/>
    <w:rsid w:val="29F55883"/>
    <w:rsid w:val="2A2C5A6D"/>
    <w:rsid w:val="2A4065CD"/>
    <w:rsid w:val="2A7E669D"/>
    <w:rsid w:val="2A984D6D"/>
    <w:rsid w:val="2AA51639"/>
    <w:rsid w:val="2AAF6F8A"/>
    <w:rsid w:val="2AB557FE"/>
    <w:rsid w:val="2ABA6BA0"/>
    <w:rsid w:val="2AC407E3"/>
    <w:rsid w:val="2AE01A27"/>
    <w:rsid w:val="2AE62AFD"/>
    <w:rsid w:val="2AE651BB"/>
    <w:rsid w:val="2AFB0A4E"/>
    <w:rsid w:val="2B1818F6"/>
    <w:rsid w:val="2B304F93"/>
    <w:rsid w:val="2B3A1D21"/>
    <w:rsid w:val="2B3A5BA9"/>
    <w:rsid w:val="2B6F5DD1"/>
    <w:rsid w:val="2B8307CD"/>
    <w:rsid w:val="2B925829"/>
    <w:rsid w:val="2B9B1D78"/>
    <w:rsid w:val="2BA40DD5"/>
    <w:rsid w:val="2BC710E3"/>
    <w:rsid w:val="2BD52616"/>
    <w:rsid w:val="2BD5324B"/>
    <w:rsid w:val="2C013EB5"/>
    <w:rsid w:val="2C183F6B"/>
    <w:rsid w:val="2C1E1D73"/>
    <w:rsid w:val="2C43116A"/>
    <w:rsid w:val="2C524C08"/>
    <w:rsid w:val="2C827B71"/>
    <w:rsid w:val="2C864B2D"/>
    <w:rsid w:val="2C921E2C"/>
    <w:rsid w:val="2C950523"/>
    <w:rsid w:val="2C9876B9"/>
    <w:rsid w:val="2CBB728E"/>
    <w:rsid w:val="2CBC4F72"/>
    <w:rsid w:val="2CBE2968"/>
    <w:rsid w:val="2CCD168B"/>
    <w:rsid w:val="2CD3198B"/>
    <w:rsid w:val="2CDA4B5F"/>
    <w:rsid w:val="2D0F2BE4"/>
    <w:rsid w:val="2D1579D5"/>
    <w:rsid w:val="2D1C7D09"/>
    <w:rsid w:val="2D2073FA"/>
    <w:rsid w:val="2D2912ED"/>
    <w:rsid w:val="2D390945"/>
    <w:rsid w:val="2D41024B"/>
    <w:rsid w:val="2D5C676F"/>
    <w:rsid w:val="2D670417"/>
    <w:rsid w:val="2D6858D9"/>
    <w:rsid w:val="2D73635F"/>
    <w:rsid w:val="2D82288D"/>
    <w:rsid w:val="2D8D7D17"/>
    <w:rsid w:val="2DA2350C"/>
    <w:rsid w:val="2DA26B18"/>
    <w:rsid w:val="2DA8623F"/>
    <w:rsid w:val="2DA961F4"/>
    <w:rsid w:val="2DC405AA"/>
    <w:rsid w:val="2DCE52AB"/>
    <w:rsid w:val="2DEA093A"/>
    <w:rsid w:val="2DEC574C"/>
    <w:rsid w:val="2E107F27"/>
    <w:rsid w:val="2E1774BB"/>
    <w:rsid w:val="2E350841"/>
    <w:rsid w:val="2E3F30CE"/>
    <w:rsid w:val="2E3F3B86"/>
    <w:rsid w:val="2E464466"/>
    <w:rsid w:val="2E513AEA"/>
    <w:rsid w:val="2E5546CA"/>
    <w:rsid w:val="2E5A7BE8"/>
    <w:rsid w:val="2E5D4E74"/>
    <w:rsid w:val="2E6233B1"/>
    <w:rsid w:val="2E6C0BC3"/>
    <w:rsid w:val="2E8A4356"/>
    <w:rsid w:val="2E9208E5"/>
    <w:rsid w:val="2E994CCB"/>
    <w:rsid w:val="2EC165B7"/>
    <w:rsid w:val="2EC94A7F"/>
    <w:rsid w:val="2EE21BC4"/>
    <w:rsid w:val="2EE828E1"/>
    <w:rsid w:val="2F12452C"/>
    <w:rsid w:val="2F256FF1"/>
    <w:rsid w:val="2F27097A"/>
    <w:rsid w:val="2F3B2694"/>
    <w:rsid w:val="2F3D0B0C"/>
    <w:rsid w:val="2F597FAF"/>
    <w:rsid w:val="2F66090D"/>
    <w:rsid w:val="2F740EEC"/>
    <w:rsid w:val="2F886E02"/>
    <w:rsid w:val="2F8B3D1C"/>
    <w:rsid w:val="2FA62C4D"/>
    <w:rsid w:val="2FBF6B43"/>
    <w:rsid w:val="2FCF2F65"/>
    <w:rsid w:val="2FD6053B"/>
    <w:rsid w:val="2FE95F99"/>
    <w:rsid w:val="30017697"/>
    <w:rsid w:val="301F4C48"/>
    <w:rsid w:val="301F7643"/>
    <w:rsid w:val="30283439"/>
    <w:rsid w:val="302F5185"/>
    <w:rsid w:val="30426FCF"/>
    <w:rsid w:val="30587FA7"/>
    <w:rsid w:val="305D7AD0"/>
    <w:rsid w:val="30685E7B"/>
    <w:rsid w:val="308D0993"/>
    <w:rsid w:val="308D42C9"/>
    <w:rsid w:val="30AA0D1F"/>
    <w:rsid w:val="30B260F5"/>
    <w:rsid w:val="30E33C68"/>
    <w:rsid w:val="30E34019"/>
    <w:rsid w:val="30EF6F14"/>
    <w:rsid w:val="30FB1AA8"/>
    <w:rsid w:val="315438F7"/>
    <w:rsid w:val="315933C6"/>
    <w:rsid w:val="31691C58"/>
    <w:rsid w:val="316E002A"/>
    <w:rsid w:val="31BC3762"/>
    <w:rsid w:val="31D94622"/>
    <w:rsid w:val="31E97788"/>
    <w:rsid w:val="32021A6E"/>
    <w:rsid w:val="3211473C"/>
    <w:rsid w:val="321D18FA"/>
    <w:rsid w:val="323C4645"/>
    <w:rsid w:val="325B5588"/>
    <w:rsid w:val="328F4D9A"/>
    <w:rsid w:val="329308B5"/>
    <w:rsid w:val="32940192"/>
    <w:rsid w:val="32A23103"/>
    <w:rsid w:val="32AD00A2"/>
    <w:rsid w:val="32CA61F0"/>
    <w:rsid w:val="32CE4BB1"/>
    <w:rsid w:val="32DE7B3B"/>
    <w:rsid w:val="32F23A0D"/>
    <w:rsid w:val="32F41E1C"/>
    <w:rsid w:val="32F74522"/>
    <w:rsid w:val="331733B6"/>
    <w:rsid w:val="331F74EF"/>
    <w:rsid w:val="33254F2C"/>
    <w:rsid w:val="33271732"/>
    <w:rsid w:val="332D1F82"/>
    <w:rsid w:val="333B756C"/>
    <w:rsid w:val="333F2807"/>
    <w:rsid w:val="334C54A3"/>
    <w:rsid w:val="334E620E"/>
    <w:rsid w:val="335915B0"/>
    <w:rsid w:val="3361036C"/>
    <w:rsid w:val="337F0619"/>
    <w:rsid w:val="338C5B19"/>
    <w:rsid w:val="33A84E4D"/>
    <w:rsid w:val="33A944FB"/>
    <w:rsid w:val="33B3530A"/>
    <w:rsid w:val="33B57EB9"/>
    <w:rsid w:val="33D26E92"/>
    <w:rsid w:val="33D613EB"/>
    <w:rsid w:val="33E1253F"/>
    <w:rsid w:val="33E7434F"/>
    <w:rsid w:val="340F6385"/>
    <w:rsid w:val="34143946"/>
    <w:rsid w:val="341961E6"/>
    <w:rsid w:val="34237494"/>
    <w:rsid w:val="34267A1B"/>
    <w:rsid w:val="342C1C45"/>
    <w:rsid w:val="3430596F"/>
    <w:rsid w:val="34383243"/>
    <w:rsid w:val="3440181B"/>
    <w:rsid w:val="345F76AC"/>
    <w:rsid w:val="346A0FD0"/>
    <w:rsid w:val="348A0A63"/>
    <w:rsid w:val="349F3894"/>
    <w:rsid w:val="34A52A15"/>
    <w:rsid w:val="34D64492"/>
    <w:rsid w:val="34D713BB"/>
    <w:rsid w:val="34DC7047"/>
    <w:rsid w:val="34F20EA2"/>
    <w:rsid w:val="350C7643"/>
    <w:rsid w:val="3512750B"/>
    <w:rsid w:val="35274BD4"/>
    <w:rsid w:val="352969D0"/>
    <w:rsid w:val="352D0A8B"/>
    <w:rsid w:val="35301D1C"/>
    <w:rsid w:val="35340772"/>
    <w:rsid w:val="353731B8"/>
    <w:rsid w:val="355901DD"/>
    <w:rsid w:val="356A2647"/>
    <w:rsid w:val="356F4778"/>
    <w:rsid w:val="359922DC"/>
    <w:rsid w:val="359F0D05"/>
    <w:rsid w:val="35A32344"/>
    <w:rsid w:val="35B620EC"/>
    <w:rsid w:val="35BB3F6F"/>
    <w:rsid w:val="35D65950"/>
    <w:rsid w:val="35E54622"/>
    <w:rsid w:val="35F970E2"/>
    <w:rsid w:val="35FB3F2C"/>
    <w:rsid w:val="35FF5FA6"/>
    <w:rsid w:val="360546BE"/>
    <w:rsid w:val="36107575"/>
    <w:rsid w:val="361100CA"/>
    <w:rsid w:val="361D2C3D"/>
    <w:rsid w:val="362102EC"/>
    <w:rsid w:val="363A6600"/>
    <w:rsid w:val="364F7A09"/>
    <w:rsid w:val="367E0E4A"/>
    <w:rsid w:val="368637B1"/>
    <w:rsid w:val="368F1295"/>
    <w:rsid w:val="36940D18"/>
    <w:rsid w:val="36B57888"/>
    <w:rsid w:val="36E153DC"/>
    <w:rsid w:val="371501DE"/>
    <w:rsid w:val="37155B18"/>
    <w:rsid w:val="37167010"/>
    <w:rsid w:val="372A0F6A"/>
    <w:rsid w:val="37505700"/>
    <w:rsid w:val="37536EAE"/>
    <w:rsid w:val="37E04CBD"/>
    <w:rsid w:val="37F37544"/>
    <w:rsid w:val="37FF3BD6"/>
    <w:rsid w:val="380B5D8F"/>
    <w:rsid w:val="38132D92"/>
    <w:rsid w:val="3822688F"/>
    <w:rsid w:val="382D1516"/>
    <w:rsid w:val="38476EA9"/>
    <w:rsid w:val="384777BB"/>
    <w:rsid w:val="38727D40"/>
    <w:rsid w:val="389F23E5"/>
    <w:rsid w:val="38BF27CF"/>
    <w:rsid w:val="38C32D98"/>
    <w:rsid w:val="38C81CAD"/>
    <w:rsid w:val="38E27D78"/>
    <w:rsid w:val="38EE2BD1"/>
    <w:rsid w:val="39113F01"/>
    <w:rsid w:val="391E4DE5"/>
    <w:rsid w:val="392917AF"/>
    <w:rsid w:val="39717D4D"/>
    <w:rsid w:val="39830E01"/>
    <w:rsid w:val="39856166"/>
    <w:rsid w:val="398D2547"/>
    <w:rsid w:val="3997440C"/>
    <w:rsid w:val="399A66DD"/>
    <w:rsid w:val="399C000D"/>
    <w:rsid w:val="39B07681"/>
    <w:rsid w:val="39B27340"/>
    <w:rsid w:val="39B3171B"/>
    <w:rsid w:val="39BC232D"/>
    <w:rsid w:val="39E27EB4"/>
    <w:rsid w:val="39FA6877"/>
    <w:rsid w:val="39FE4031"/>
    <w:rsid w:val="3A015456"/>
    <w:rsid w:val="3A0750C7"/>
    <w:rsid w:val="3A1E68BD"/>
    <w:rsid w:val="3A3F6685"/>
    <w:rsid w:val="3A4000D9"/>
    <w:rsid w:val="3A4521CA"/>
    <w:rsid w:val="3A49509F"/>
    <w:rsid w:val="3A4C2FCE"/>
    <w:rsid w:val="3A612DE5"/>
    <w:rsid w:val="3A660034"/>
    <w:rsid w:val="3A7969EC"/>
    <w:rsid w:val="3A7D77A0"/>
    <w:rsid w:val="3A814008"/>
    <w:rsid w:val="3A875AD9"/>
    <w:rsid w:val="3A927C61"/>
    <w:rsid w:val="3AA05D26"/>
    <w:rsid w:val="3AAE52D9"/>
    <w:rsid w:val="3ACA4944"/>
    <w:rsid w:val="3AD05CB0"/>
    <w:rsid w:val="3AD47FDF"/>
    <w:rsid w:val="3AD52E9F"/>
    <w:rsid w:val="3AE66485"/>
    <w:rsid w:val="3AF4735F"/>
    <w:rsid w:val="3AF74F0E"/>
    <w:rsid w:val="3AFD3E8E"/>
    <w:rsid w:val="3B0B7F6D"/>
    <w:rsid w:val="3B1A038D"/>
    <w:rsid w:val="3B222B86"/>
    <w:rsid w:val="3B2D69B8"/>
    <w:rsid w:val="3B457282"/>
    <w:rsid w:val="3B6B075E"/>
    <w:rsid w:val="3B6E2C02"/>
    <w:rsid w:val="3B9B2C42"/>
    <w:rsid w:val="3BBA1B6C"/>
    <w:rsid w:val="3BE673EC"/>
    <w:rsid w:val="3BEC4A0F"/>
    <w:rsid w:val="3BF550DA"/>
    <w:rsid w:val="3BF765EC"/>
    <w:rsid w:val="3C296B3D"/>
    <w:rsid w:val="3C59682E"/>
    <w:rsid w:val="3C662E18"/>
    <w:rsid w:val="3C6E32A4"/>
    <w:rsid w:val="3C747A13"/>
    <w:rsid w:val="3C7C694C"/>
    <w:rsid w:val="3C9E7A44"/>
    <w:rsid w:val="3CAA420B"/>
    <w:rsid w:val="3CB15178"/>
    <w:rsid w:val="3CB872DE"/>
    <w:rsid w:val="3CC52689"/>
    <w:rsid w:val="3CD06218"/>
    <w:rsid w:val="3CD32522"/>
    <w:rsid w:val="3CD558B1"/>
    <w:rsid w:val="3CEA6298"/>
    <w:rsid w:val="3D1A39DF"/>
    <w:rsid w:val="3D2637E2"/>
    <w:rsid w:val="3D3263EC"/>
    <w:rsid w:val="3D631C80"/>
    <w:rsid w:val="3D692B06"/>
    <w:rsid w:val="3D755E2C"/>
    <w:rsid w:val="3D8F35D4"/>
    <w:rsid w:val="3D8F386B"/>
    <w:rsid w:val="3DA31BAA"/>
    <w:rsid w:val="3DA53D6A"/>
    <w:rsid w:val="3DA821DD"/>
    <w:rsid w:val="3DA91092"/>
    <w:rsid w:val="3DAA0E17"/>
    <w:rsid w:val="3DAC0DEC"/>
    <w:rsid w:val="3DC24D75"/>
    <w:rsid w:val="3DD869E0"/>
    <w:rsid w:val="3DE2791A"/>
    <w:rsid w:val="3DEE3015"/>
    <w:rsid w:val="3DFF6BDC"/>
    <w:rsid w:val="3E2117EC"/>
    <w:rsid w:val="3E217E18"/>
    <w:rsid w:val="3E6D48DD"/>
    <w:rsid w:val="3E8435E3"/>
    <w:rsid w:val="3E926A99"/>
    <w:rsid w:val="3EB20B34"/>
    <w:rsid w:val="3EC0586C"/>
    <w:rsid w:val="3EC96F52"/>
    <w:rsid w:val="3ED956BE"/>
    <w:rsid w:val="3EEA1EF3"/>
    <w:rsid w:val="3EED3326"/>
    <w:rsid w:val="3EFF5662"/>
    <w:rsid w:val="3F1C5CAE"/>
    <w:rsid w:val="3F3556B8"/>
    <w:rsid w:val="3F4602FB"/>
    <w:rsid w:val="3F50250C"/>
    <w:rsid w:val="3F5778E8"/>
    <w:rsid w:val="3F84768E"/>
    <w:rsid w:val="3FA00195"/>
    <w:rsid w:val="3FA45E02"/>
    <w:rsid w:val="3FAD626E"/>
    <w:rsid w:val="3FD55222"/>
    <w:rsid w:val="3FE6300C"/>
    <w:rsid w:val="3FF87264"/>
    <w:rsid w:val="400849B2"/>
    <w:rsid w:val="400B78FF"/>
    <w:rsid w:val="401D636B"/>
    <w:rsid w:val="4043016C"/>
    <w:rsid w:val="406B5BD7"/>
    <w:rsid w:val="40A2012D"/>
    <w:rsid w:val="40AA4297"/>
    <w:rsid w:val="40C93C2C"/>
    <w:rsid w:val="40CC4402"/>
    <w:rsid w:val="40CF248F"/>
    <w:rsid w:val="410267CF"/>
    <w:rsid w:val="411941A7"/>
    <w:rsid w:val="412D17A7"/>
    <w:rsid w:val="413B7A68"/>
    <w:rsid w:val="41420895"/>
    <w:rsid w:val="4146033A"/>
    <w:rsid w:val="414F2940"/>
    <w:rsid w:val="415212A6"/>
    <w:rsid w:val="415F49A9"/>
    <w:rsid w:val="416869A2"/>
    <w:rsid w:val="418A5922"/>
    <w:rsid w:val="419507B0"/>
    <w:rsid w:val="419559F2"/>
    <w:rsid w:val="41966D0A"/>
    <w:rsid w:val="41C9379D"/>
    <w:rsid w:val="41CC4198"/>
    <w:rsid w:val="41D34286"/>
    <w:rsid w:val="41D73D30"/>
    <w:rsid w:val="420578A7"/>
    <w:rsid w:val="42287121"/>
    <w:rsid w:val="423226CF"/>
    <w:rsid w:val="426B2108"/>
    <w:rsid w:val="427B18CD"/>
    <w:rsid w:val="42806636"/>
    <w:rsid w:val="42B71B61"/>
    <w:rsid w:val="42F21808"/>
    <w:rsid w:val="43002094"/>
    <w:rsid w:val="43084968"/>
    <w:rsid w:val="43121B0F"/>
    <w:rsid w:val="431A4EB4"/>
    <w:rsid w:val="43207F9F"/>
    <w:rsid w:val="434A1CA6"/>
    <w:rsid w:val="435070E5"/>
    <w:rsid w:val="43545B7B"/>
    <w:rsid w:val="435606E0"/>
    <w:rsid w:val="435A43DE"/>
    <w:rsid w:val="43654EE0"/>
    <w:rsid w:val="436F1EDB"/>
    <w:rsid w:val="43832355"/>
    <w:rsid w:val="43855937"/>
    <w:rsid w:val="439865BE"/>
    <w:rsid w:val="439D3315"/>
    <w:rsid w:val="439E6090"/>
    <w:rsid w:val="43AA3793"/>
    <w:rsid w:val="43BB1503"/>
    <w:rsid w:val="43CA0E3F"/>
    <w:rsid w:val="43DA0DDE"/>
    <w:rsid w:val="43DB286E"/>
    <w:rsid w:val="43E0737D"/>
    <w:rsid w:val="43EA514C"/>
    <w:rsid w:val="43EF0CF0"/>
    <w:rsid w:val="43F92031"/>
    <w:rsid w:val="44106185"/>
    <w:rsid w:val="442F1C73"/>
    <w:rsid w:val="443A0F91"/>
    <w:rsid w:val="44406426"/>
    <w:rsid w:val="44A6576F"/>
    <w:rsid w:val="44BF00CD"/>
    <w:rsid w:val="44D01B63"/>
    <w:rsid w:val="44D11CFA"/>
    <w:rsid w:val="44EB74C2"/>
    <w:rsid w:val="450A0A98"/>
    <w:rsid w:val="450C5AD8"/>
    <w:rsid w:val="4557254B"/>
    <w:rsid w:val="455730E3"/>
    <w:rsid w:val="455A6F7C"/>
    <w:rsid w:val="455B1156"/>
    <w:rsid w:val="45615501"/>
    <w:rsid w:val="456C4A00"/>
    <w:rsid w:val="4576312C"/>
    <w:rsid w:val="457A02D2"/>
    <w:rsid w:val="4598072C"/>
    <w:rsid w:val="45AA6BF5"/>
    <w:rsid w:val="45AE6214"/>
    <w:rsid w:val="45D1609B"/>
    <w:rsid w:val="45D24EF1"/>
    <w:rsid w:val="45DE579C"/>
    <w:rsid w:val="45E578B3"/>
    <w:rsid w:val="45EB50C1"/>
    <w:rsid w:val="45F03524"/>
    <w:rsid w:val="460C17DD"/>
    <w:rsid w:val="462823E5"/>
    <w:rsid w:val="46347065"/>
    <w:rsid w:val="46403ED5"/>
    <w:rsid w:val="46560D43"/>
    <w:rsid w:val="46633FE3"/>
    <w:rsid w:val="468F011D"/>
    <w:rsid w:val="469640D2"/>
    <w:rsid w:val="469D1308"/>
    <w:rsid w:val="469D4A4E"/>
    <w:rsid w:val="46A06F84"/>
    <w:rsid w:val="46A71032"/>
    <w:rsid w:val="46BA4CF3"/>
    <w:rsid w:val="46C619E8"/>
    <w:rsid w:val="46C6256D"/>
    <w:rsid w:val="46E1312D"/>
    <w:rsid w:val="46E43002"/>
    <w:rsid w:val="46F40C50"/>
    <w:rsid w:val="46F54AD4"/>
    <w:rsid w:val="47085549"/>
    <w:rsid w:val="470B52C8"/>
    <w:rsid w:val="47101F20"/>
    <w:rsid w:val="4720474D"/>
    <w:rsid w:val="475D27B8"/>
    <w:rsid w:val="478A4680"/>
    <w:rsid w:val="47BD361A"/>
    <w:rsid w:val="47C62491"/>
    <w:rsid w:val="47CA0DD5"/>
    <w:rsid w:val="47CD61BD"/>
    <w:rsid w:val="47D3765D"/>
    <w:rsid w:val="47F463DE"/>
    <w:rsid w:val="47FA0A18"/>
    <w:rsid w:val="47FD14A4"/>
    <w:rsid w:val="48043F47"/>
    <w:rsid w:val="480F5CC6"/>
    <w:rsid w:val="48123EFD"/>
    <w:rsid w:val="482565B6"/>
    <w:rsid w:val="484D2622"/>
    <w:rsid w:val="48511591"/>
    <w:rsid w:val="48546986"/>
    <w:rsid w:val="48627946"/>
    <w:rsid w:val="4868638A"/>
    <w:rsid w:val="486E4AFA"/>
    <w:rsid w:val="489B5671"/>
    <w:rsid w:val="489F3706"/>
    <w:rsid w:val="48A807B9"/>
    <w:rsid w:val="48EE3B7A"/>
    <w:rsid w:val="48FB01C0"/>
    <w:rsid w:val="49172611"/>
    <w:rsid w:val="491B6650"/>
    <w:rsid w:val="491F5978"/>
    <w:rsid w:val="4934123D"/>
    <w:rsid w:val="49426D81"/>
    <w:rsid w:val="494614E0"/>
    <w:rsid w:val="4946760E"/>
    <w:rsid w:val="498E4072"/>
    <w:rsid w:val="499833AA"/>
    <w:rsid w:val="49A46E71"/>
    <w:rsid w:val="49B03007"/>
    <w:rsid w:val="49DB6509"/>
    <w:rsid w:val="49DC7A4B"/>
    <w:rsid w:val="49ED70EF"/>
    <w:rsid w:val="49FB7771"/>
    <w:rsid w:val="4A0317EC"/>
    <w:rsid w:val="4A067202"/>
    <w:rsid w:val="4A1F6B8B"/>
    <w:rsid w:val="4A27187C"/>
    <w:rsid w:val="4A3D2319"/>
    <w:rsid w:val="4A424F4F"/>
    <w:rsid w:val="4A6A766C"/>
    <w:rsid w:val="4A6C5CD9"/>
    <w:rsid w:val="4A832C0A"/>
    <w:rsid w:val="4A935488"/>
    <w:rsid w:val="4AA47FDF"/>
    <w:rsid w:val="4AAC05EF"/>
    <w:rsid w:val="4AB923BF"/>
    <w:rsid w:val="4AC36577"/>
    <w:rsid w:val="4AD36547"/>
    <w:rsid w:val="4AE0139D"/>
    <w:rsid w:val="4AEE438C"/>
    <w:rsid w:val="4B0F08F0"/>
    <w:rsid w:val="4B13136B"/>
    <w:rsid w:val="4B163F3A"/>
    <w:rsid w:val="4B260EC9"/>
    <w:rsid w:val="4B4C50BB"/>
    <w:rsid w:val="4B580590"/>
    <w:rsid w:val="4B647335"/>
    <w:rsid w:val="4B783852"/>
    <w:rsid w:val="4BEA1320"/>
    <w:rsid w:val="4BF47773"/>
    <w:rsid w:val="4C302607"/>
    <w:rsid w:val="4C307608"/>
    <w:rsid w:val="4C3414B9"/>
    <w:rsid w:val="4C373098"/>
    <w:rsid w:val="4C4C0BC5"/>
    <w:rsid w:val="4C5727FA"/>
    <w:rsid w:val="4C606508"/>
    <w:rsid w:val="4C662843"/>
    <w:rsid w:val="4C673BB1"/>
    <w:rsid w:val="4C6D2199"/>
    <w:rsid w:val="4C9C0F1E"/>
    <w:rsid w:val="4C9C41E3"/>
    <w:rsid w:val="4CA54F3E"/>
    <w:rsid w:val="4CA845C0"/>
    <w:rsid w:val="4CD72882"/>
    <w:rsid w:val="4D267674"/>
    <w:rsid w:val="4D3A3FC4"/>
    <w:rsid w:val="4D431BAA"/>
    <w:rsid w:val="4D56570C"/>
    <w:rsid w:val="4D6A0350"/>
    <w:rsid w:val="4D885499"/>
    <w:rsid w:val="4DA722C2"/>
    <w:rsid w:val="4DAB0D50"/>
    <w:rsid w:val="4DAD4AC6"/>
    <w:rsid w:val="4DAF3636"/>
    <w:rsid w:val="4DD012BB"/>
    <w:rsid w:val="4DE94216"/>
    <w:rsid w:val="4DF642D6"/>
    <w:rsid w:val="4DF77026"/>
    <w:rsid w:val="4E0965B6"/>
    <w:rsid w:val="4E0F6958"/>
    <w:rsid w:val="4E1A150C"/>
    <w:rsid w:val="4E1B2346"/>
    <w:rsid w:val="4E3560D5"/>
    <w:rsid w:val="4E3D2D11"/>
    <w:rsid w:val="4E492795"/>
    <w:rsid w:val="4E553773"/>
    <w:rsid w:val="4E557723"/>
    <w:rsid w:val="4E7D712F"/>
    <w:rsid w:val="4E8412B2"/>
    <w:rsid w:val="4E941D66"/>
    <w:rsid w:val="4EB57BF8"/>
    <w:rsid w:val="4EBB3698"/>
    <w:rsid w:val="4EBD44AF"/>
    <w:rsid w:val="4EBF1F35"/>
    <w:rsid w:val="4EC62A4A"/>
    <w:rsid w:val="4ECC0AD3"/>
    <w:rsid w:val="4ED43257"/>
    <w:rsid w:val="4ED55A87"/>
    <w:rsid w:val="4ED55CAE"/>
    <w:rsid w:val="4EEA0B90"/>
    <w:rsid w:val="4EEC6BC3"/>
    <w:rsid w:val="4EF10825"/>
    <w:rsid w:val="4EF2748D"/>
    <w:rsid w:val="4EF96F4E"/>
    <w:rsid w:val="4F08779C"/>
    <w:rsid w:val="4F105A52"/>
    <w:rsid w:val="4F157099"/>
    <w:rsid w:val="4F196A6C"/>
    <w:rsid w:val="4F243ADF"/>
    <w:rsid w:val="4F381E11"/>
    <w:rsid w:val="4F3D582C"/>
    <w:rsid w:val="4F4D6C67"/>
    <w:rsid w:val="4F62558B"/>
    <w:rsid w:val="4F876C67"/>
    <w:rsid w:val="4F970FBB"/>
    <w:rsid w:val="4FB64DCA"/>
    <w:rsid w:val="4FBA2471"/>
    <w:rsid w:val="4FCD492E"/>
    <w:rsid w:val="4FCD7F18"/>
    <w:rsid w:val="4FD0677A"/>
    <w:rsid w:val="4FD41506"/>
    <w:rsid w:val="4FD47036"/>
    <w:rsid w:val="501F1578"/>
    <w:rsid w:val="50246F36"/>
    <w:rsid w:val="502D74A0"/>
    <w:rsid w:val="50391B98"/>
    <w:rsid w:val="50445B61"/>
    <w:rsid w:val="50501594"/>
    <w:rsid w:val="506733B6"/>
    <w:rsid w:val="506906AE"/>
    <w:rsid w:val="507218D8"/>
    <w:rsid w:val="507612E2"/>
    <w:rsid w:val="507E34D2"/>
    <w:rsid w:val="50887E11"/>
    <w:rsid w:val="50D11AD4"/>
    <w:rsid w:val="50E56D6F"/>
    <w:rsid w:val="50EF7CB4"/>
    <w:rsid w:val="51034999"/>
    <w:rsid w:val="510A3797"/>
    <w:rsid w:val="5115689A"/>
    <w:rsid w:val="51163A42"/>
    <w:rsid w:val="51272B72"/>
    <w:rsid w:val="512961A1"/>
    <w:rsid w:val="512E7AF3"/>
    <w:rsid w:val="51315009"/>
    <w:rsid w:val="5148313A"/>
    <w:rsid w:val="51AE63D7"/>
    <w:rsid w:val="51C7476C"/>
    <w:rsid w:val="52311A4B"/>
    <w:rsid w:val="5235110D"/>
    <w:rsid w:val="5259664A"/>
    <w:rsid w:val="525D0EC9"/>
    <w:rsid w:val="52697CB0"/>
    <w:rsid w:val="527B023F"/>
    <w:rsid w:val="529366D4"/>
    <w:rsid w:val="529A5DFF"/>
    <w:rsid w:val="52A61C57"/>
    <w:rsid w:val="52A65A40"/>
    <w:rsid w:val="52F05440"/>
    <w:rsid w:val="530A7149"/>
    <w:rsid w:val="5322349F"/>
    <w:rsid w:val="53237764"/>
    <w:rsid w:val="532A6A37"/>
    <w:rsid w:val="53394C1B"/>
    <w:rsid w:val="53515BC9"/>
    <w:rsid w:val="535C19B0"/>
    <w:rsid w:val="537A654E"/>
    <w:rsid w:val="537D4CB3"/>
    <w:rsid w:val="538E37F2"/>
    <w:rsid w:val="539C3490"/>
    <w:rsid w:val="539E762F"/>
    <w:rsid w:val="53A13655"/>
    <w:rsid w:val="53AD271F"/>
    <w:rsid w:val="53B11F80"/>
    <w:rsid w:val="53FC2405"/>
    <w:rsid w:val="54070E9C"/>
    <w:rsid w:val="541364A0"/>
    <w:rsid w:val="541C3C30"/>
    <w:rsid w:val="54530402"/>
    <w:rsid w:val="545D328E"/>
    <w:rsid w:val="546D6440"/>
    <w:rsid w:val="546F3BC5"/>
    <w:rsid w:val="54A35B80"/>
    <w:rsid w:val="54A475DC"/>
    <w:rsid w:val="54B36C30"/>
    <w:rsid w:val="54C36759"/>
    <w:rsid w:val="54CE26A4"/>
    <w:rsid w:val="54D16D9C"/>
    <w:rsid w:val="54D92923"/>
    <w:rsid w:val="54DC3F02"/>
    <w:rsid w:val="54E6788C"/>
    <w:rsid w:val="55044C2E"/>
    <w:rsid w:val="5509067E"/>
    <w:rsid w:val="551178F4"/>
    <w:rsid w:val="55314C27"/>
    <w:rsid w:val="55384686"/>
    <w:rsid w:val="55546EF7"/>
    <w:rsid w:val="55647983"/>
    <w:rsid w:val="5567793D"/>
    <w:rsid w:val="556C4C06"/>
    <w:rsid w:val="5588140E"/>
    <w:rsid w:val="55885D4D"/>
    <w:rsid w:val="55B33B70"/>
    <w:rsid w:val="55CD5C9F"/>
    <w:rsid w:val="55D60722"/>
    <w:rsid w:val="55DA0C7A"/>
    <w:rsid w:val="55EE2A74"/>
    <w:rsid w:val="56031A5C"/>
    <w:rsid w:val="561E4CF3"/>
    <w:rsid w:val="5629452E"/>
    <w:rsid w:val="563033AA"/>
    <w:rsid w:val="564800D2"/>
    <w:rsid w:val="564F5474"/>
    <w:rsid w:val="56533EA1"/>
    <w:rsid w:val="56693221"/>
    <w:rsid w:val="567A6CC7"/>
    <w:rsid w:val="569011A6"/>
    <w:rsid w:val="56955B35"/>
    <w:rsid w:val="56A01E4E"/>
    <w:rsid w:val="56AD70EE"/>
    <w:rsid w:val="56C975DE"/>
    <w:rsid w:val="56DC20E2"/>
    <w:rsid w:val="56E4636E"/>
    <w:rsid w:val="57170A06"/>
    <w:rsid w:val="57201521"/>
    <w:rsid w:val="572447EF"/>
    <w:rsid w:val="572C68C1"/>
    <w:rsid w:val="573E4F0A"/>
    <w:rsid w:val="573F55D2"/>
    <w:rsid w:val="574A1F08"/>
    <w:rsid w:val="57573499"/>
    <w:rsid w:val="576C6D3A"/>
    <w:rsid w:val="57780B5F"/>
    <w:rsid w:val="57856E07"/>
    <w:rsid w:val="57865AF6"/>
    <w:rsid w:val="57884441"/>
    <w:rsid w:val="57993EFF"/>
    <w:rsid w:val="579E54F9"/>
    <w:rsid w:val="57AA0B0E"/>
    <w:rsid w:val="57BA59D4"/>
    <w:rsid w:val="57BB2BED"/>
    <w:rsid w:val="57BC080A"/>
    <w:rsid w:val="57CA363F"/>
    <w:rsid w:val="57D87EBA"/>
    <w:rsid w:val="57EA2AE3"/>
    <w:rsid w:val="57F4653C"/>
    <w:rsid w:val="58012B8B"/>
    <w:rsid w:val="58161382"/>
    <w:rsid w:val="58220111"/>
    <w:rsid w:val="587E30B9"/>
    <w:rsid w:val="588A52AE"/>
    <w:rsid w:val="58925AF1"/>
    <w:rsid w:val="58A1236A"/>
    <w:rsid w:val="58B13473"/>
    <w:rsid w:val="58B64361"/>
    <w:rsid w:val="58EC1057"/>
    <w:rsid w:val="58F405D8"/>
    <w:rsid w:val="58FC1A24"/>
    <w:rsid w:val="590D4E39"/>
    <w:rsid w:val="591666C9"/>
    <w:rsid w:val="59281D08"/>
    <w:rsid w:val="592C3B4B"/>
    <w:rsid w:val="593710E8"/>
    <w:rsid w:val="59500764"/>
    <w:rsid w:val="595C48AF"/>
    <w:rsid w:val="5970475F"/>
    <w:rsid w:val="597047A6"/>
    <w:rsid w:val="59893794"/>
    <w:rsid w:val="59D27912"/>
    <w:rsid w:val="59EB277C"/>
    <w:rsid w:val="59EE737D"/>
    <w:rsid w:val="5A293AAC"/>
    <w:rsid w:val="5A2F57D9"/>
    <w:rsid w:val="5A302FFE"/>
    <w:rsid w:val="5A321016"/>
    <w:rsid w:val="5A5E37E3"/>
    <w:rsid w:val="5A740BF6"/>
    <w:rsid w:val="5A81238B"/>
    <w:rsid w:val="5A8545C4"/>
    <w:rsid w:val="5A901F57"/>
    <w:rsid w:val="5AB90918"/>
    <w:rsid w:val="5ACC057A"/>
    <w:rsid w:val="5AD55F75"/>
    <w:rsid w:val="5ADD5899"/>
    <w:rsid w:val="5ADD7C85"/>
    <w:rsid w:val="5ADF51F2"/>
    <w:rsid w:val="5B16625C"/>
    <w:rsid w:val="5B280925"/>
    <w:rsid w:val="5B2D41F1"/>
    <w:rsid w:val="5B3549AF"/>
    <w:rsid w:val="5B396306"/>
    <w:rsid w:val="5B5C6FCD"/>
    <w:rsid w:val="5B7430B7"/>
    <w:rsid w:val="5B8711D8"/>
    <w:rsid w:val="5B8A6CCB"/>
    <w:rsid w:val="5BC648CA"/>
    <w:rsid w:val="5BCE5608"/>
    <w:rsid w:val="5BD92166"/>
    <w:rsid w:val="5BD95CD3"/>
    <w:rsid w:val="5C0A65BE"/>
    <w:rsid w:val="5C275688"/>
    <w:rsid w:val="5C281628"/>
    <w:rsid w:val="5C3A0302"/>
    <w:rsid w:val="5C3E2C48"/>
    <w:rsid w:val="5C4822D4"/>
    <w:rsid w:val="5C4E235C"/>
    <w:rsid w:val="5C532BA5"/>
    <w:rsid w:val="5C55693B"/>
    <w:rsid w:val="5C561826"/>
    <w:rsid w:val="5C6000A4"/>
    <w:rsid w:val="5C6D090F"/>
    <w:rsid w:val="5C953A4E"/>
    <w:rsid w:val="5C9A292F"/>
    <w:rsid w:val="5CB775A8"/>
    <w:rsid w:val="5CBA7D9C"/>
    <w:rsid w:val="5CCC60C6"/>
    <w:rsid w:val="5CCD5CDF"/>
    <w:rsid w:val="5CDD6099"/>
    <w:rsid w:val="5CDF546E"/>
    <w:rsid w:val="5CE7740D"/>
    <w:rsid w:val="5CEC1B6C"/>
    <w:rsid w:val="5CFA2A71"/>
    <w:rsid w:val="5D030EEE"/>
    <w:rsid w:val="5D0F09E4"/>
    <w:rsid w:val="5D1A38EC"/>
    <w:rsid w:val="5D2E3FC8"/>
    <w:rsid w:val="5D3172A9"/>
    <w:rsid w:val="5D3E51EC"/>
    <w:rsid w:val="5D68068E"/>
    <w:rsid w:val="5D796AAC"/>
    <w:rsid w:val="5D976EEC"/>
    <w:rsid w:val="5DB26898"/>
    <w:rsid w:val="5DC8074D"/>
    <w:rsid w:val="5DCA0A78"/>
    <w:rsid w:val="5DCB69F5"/>
    <w:rsid w:val="5DD11793"/>
    <w:rsid w:val="5DD47E86"/>
    <w:rsid w:val="5DE90F56"/>
    <w:rsid w:val="5E0C6609"/>
    <w:rsid w:val="5E0D2FB0"/>
    <w:rsid w:val="5E165E6D"/>
    <w:rsid w:val="5E1D4426"/>
    <w:rsid w:val="5E2037CF"/>
    <w:rsid w:val="5E2B190F"/>
    <w:rsid w:val="5E3D71AC"/>
    <w:rsid w:val="5E452AFB"/>
    <w:rsid w:val="5E457596"/>
    <w:rsid w:val="5E4D0765"/>
    <w:rsid w:val="5E550923"/>
    <w:rsid w:val="5E5A6E9D"/>
    <w:rsid w:val="5E8254A1"/>
    <w:rsid w:val="5E8717ED"/>
    <w:rsid w:val="5E8F0B44"/>
    <w:rsid w:val="5E9806CB"/>
    <w:rsid w:val="5E9973C8"/>
    <w:rsid w:val="5EC1175A"/>
    <w:rsid w:val="5ED51ADE"/>
    <w:rsid w:val="5EE04960"/>
    <w:rsid w:val="5EEC3488"/>
    <w:rsid w:val="5EF06536"/>
    <w:rsid w:val="5EF62943"/>
    <w:rsid w:val="5EF635F0"/>
    <w:rsid w:val="5F2B0A09"/>
    <w:rsid w:val="5F403D9D"/>
    <w:rsid w:val="5F5223FF"/>
    <w:rsid w:val="5F875A34"/>
    <w:rsid w:val="5F8D5E99"/>
    <w:rsid w:val="5F966ABD"/>
    <w:rsid w:val="5F9D714E"/>
    <w:rsid w:val="5FE9376B"/>
    <w:rsid w:val="60046E35"/>
    <w:rsid w:val="60362D51"/>
    <w:rsid w:val="60441AFF"/>
    <w:rsid w:val="605A7C9E"/>
    <w:rsid w:val="606A5B2A"/>
    <w:rsid w:val="607C23DB"/>
    <w:rsid w:val="6080445F"/>
    <w:rsid w:val="60817BBC"/>
    <w:rsid w:val="60EB2C93"/>
    <w:rsid w:val="61007301"/>
    <w:rsid w:val="61031180"/>
    <w:rsid w:val="61111D51"/>
    <w:rsid w:val="611C5DB1"/>
    <w:rsid w:val="611F2EA9"/>
    <w:rsid w:val="612C1190"/>
    <w:rsid w:val="616468F8"/>
    <w:rsid w:val="61CF5854"/>
    <w:rsid w:val="61DF0FEA"/>
    <w:rsid w:val="61EB0C02"/>
    <w:rsid w:val="61FB6FC7"/>
    <w:rsid w:val="62253C05"/>
    <w:rsid w:val="62351783"/>
    <w:rsid w:val="623C77A1"/>
    <w:rsid w:val="624F3CFA"/>
    <w:rsid w:val="62527DA5"/>
    <w:rsid w:val="627C153F"/>
    <w:rsid w:val="629658FC"/>
    <w:rsid w:val="629C4DB1"/>
    <w:rsid w:val="62C264B4"/>
    <w:rsid w:val="62ED3276"/>
    <w:rsid w:val="62FA7112"/>
    <w:rsid w:val="62FB3199"/>
    <w:rsid w:val="63073801"/>
    <w:rsid w:val="6367735E"/>
    <w:rsid w:val="637D4DEB"/>
    <w:rsid w:val="637D52B0"/>
    <w:rsid w:val="638B6559"/>
    <w:rsid w:val="63945C3E"/>
    <w:rsid w:val="63C96D02"/>
    <w:rsid w:val="63D64BAB"/>
    <w:rsid w:val="63DE39B7"/>
    <w:rsid w:val="63E543C1"/>
    <w:rsid w:val="63F44D3A"/>
    <w:rsid w:val="64011C7F"/>
    <w:rsid w:val="640D76C0"/>
    <w:rsid w:val="64236CA4"/>
    <w:rsid w:val="642857AE"/>
    <w:rsid w:val="64374636"/>
    <w:rsid w:val="648B1BFD"/>
    <w:rsid w:val="64990D47"/>
    <w:rsid w:val="64AD23A7"/>
    <w:rsid w:val="64B10C2C"/>
    <w:rsid w:val="64B14820"/>
    <w:rsid w:val="64C0390D"/>
    <w:rsid w:val="64CF3FF6"/>
    <w:rsid w:val="64D8405B"/>
    <w:rsid w:val="64DB07C6"/>
    <w:rsid w:val="64E279F0"/>
    <w:rsid w:val="64EA220C"/>
    <w:rsid w:val="64EE61FF"/>
    <w:rsid w:val="6513399A"/>
    <w:rsid w:val="65152C15"/>
    <w:rsid w:val="65211E78"/>
    <w:rsid w:val="654E2FBF"/>
    <w:rsid w:val="65B15CE6"/>
    <w:rsid w:val="65BF63AB"/>
    <w:rsid w:val="65C24844"/>
    <w:rsid w:val="65C354CE"/>
    <w:rsid w:val="65C80B6E"/>
    <w:rsid w:val="65CE38F7"/>
    <w:rsid w:val="65E14825"/>
    <w:rsid w:val="65F75409"/>
    <w:rsid w:val="66057D75"/>
    <w:rsid w:val="66111B9D"/>
    <w:rsid w:val="662D64D2"/>
    <w:rsid w:val="663660EB"/>
    <w:rsid w:val="664843CC"/>
    <w:rsid w:val="666118DC"/>
    <w:rsid w:val="666461A6"/>
    <w:rsid w:val="66655661"/>
    <w:rsid w:val="667417F6"/>
    <w:rsid w:val="667A2188"/>
    <w:rsid w:val="667C0730"/>
    <w:rsid w:val="66946FBB"/>
    <w:rsid w:val="66D033D4"/>
    <w:rsid w:val="66D06E14"/>
    <w:rsid w:val="66DA1D2A"/>
    <w:rsid w:val="66E71B1D"/>
    <w:rsid w:val="67021C51"/>
    <w:rsid w:val="67097837"/>
    <w:rsid w:val="670F7D5E"/>
    <w:rsid w:val="67240C7C"/>
    <w:rsid w:val="67387E4A"/>
    <w:rsid w:val="673D2D5E"/>
    <w:rsid w:val="674A25E2"/>
    <w:rsid w:val="675168C7"/>
    <w:rsid w:val="67775CAC"/>
    <w:rsid w:val="67A517DB"/>
    <w:rsid w:val="67B334DC"/>
    <w:rsid w:val="67D94D2E"/>
    <w:rsid w:val="67E107BD"/>
    <w:rsid w:val="67F11ED6"/>
    <w:rsid w:val="6805118B"/>
    <w:rsid w:val="681A38D9"/>
    <w:rsid w:val="68572311"/>
    <w:rsid w:val="68625174"/>
    <w:rsid w:val="68760DEA"/>
    <w:rsid w:val="688D235C"/>
    <w:rsid w:val="68C80861"/>
    <w:rsid w:val="68D727A1"/>
    <w:rsid w:val="68E64FE6"/>
    <w:rsid w:val="68EF5DDE"/>
    <w:rsid w:val="690436D8"/>
    <w:rsid w:val="692674EA"/>
    <w:rsid w:val="69283F50"/>
    <w:rsid w:val="692C69F5"/>
    <w:rsid w:val="693844B8"/>
    <w:rsid w:val="693D5C60"/>
    <w:rsid w:val="693E64E7"/>
    <w:rsid w:val="69405848"/>
    <w:rsid w:val="694A0B24"/>
    <w:rsid w:val="694E5350"/>
    <w:rsid w:val="69840655"/>
    <w:rsid w:val="698C59F0"/>
    <w:rsid w:val="69BD2119"/>
    <w:rsid w:val="69BF3FA6"/>
    <w:rsid w:val="69CE74A4"/>
    <w:rsid w:val="69E95F81"/>
    <w:rsid w:val="69F94C66"/>
    <w:rsid w:val="6A0B4AFD"/>
    <w:rsid w:val="6A1870BD"/>
    <w:rsid w:val="6A2A1C37"/>
    <w:rsid w:val="6A3B4A23"/>
    <w:rsid w:val="6A4F63E1"/>
    <w:rsid w:val="6A847A9E"/>
    <w:rsid w:val="6AA413C9"/>
    <w:rsid w:val="6ABD55AD"/>
    <w:rsid w:val="6AC42377"/>
    <w:rsid w:val="6AF020B1"/>
    <w:rsid w:val="6AF34968"/>
    <w:rsid w:val="6AF3767D"/>
    <w:rsid w:val="6AF755A2"/>
    <w:rsid w:val="6B0B2D67"/>
    <w:rsid w:val="6B4D0E74"/>
    <w:rsid w:val="6B4F0D0F"/>
    <w:rsid w:val="6B5136E7"/>
    <w:rsid w:val="6B6B5ECA"/>
    <w:rsid w:val="6B6C570B"/>
    <w:rsid w:val="6B783FDC"/>
    <w:rsid w:val="6B876F24"/>
    <w:rsid w:val="6B922F7B"/>
    <w:rsid w:val="6B9675C5"/>
    <w:rsid w:val="6B9A3E75"/>
    <w:rsid w:val="6BAF3DC9"/>
    <w:rsid w:val="6BB24129"/>
    <w:rsid w:val="6BC849F9"/>
    <w:rsid w:val="6BD467FC"/>
    <w:rsid w:val="6BE02668"/>
    <w:rsid w:val="6BE218E6"/>
    <w:rsid w:val="6BEF7609"/>
    <w:rsid w:val="6BFA38B5"/>
    <w:rsid w:val="6C1F3B26"/>
    <w:rsid w:val="6C3469C9"/>
    <w:rsid w:val="6C5F1E1F"/>
    <w:rsid w:val="6C667106"/>
    <w:rsid w:val="6C6F50A9"/>
    <w:rsid w:val="6C805459"/>
    <w:rsid w:val="6C907797"/>
    <w:rsid w:val="6CAB6091"/>
    <w:rsid w:val="6CC230A4"/>
    <w:rsid w:val="6CC53DEB"/>
    <w:rsid w:val="6CD95AB8"/>
    <w:rsid w:val="6CEA50A2"/>
    <w:rsid w:val="6D210E00"/>
    <w:rsid w:val="6D2A3429"/>
    <w:rsid w:val="6D2F4299"/>
    <w:rsid w:val="6D333DC6"/>
    <w:rsid w:val="6D3C1778"/>
    <w:rsid w:val="6D434F9D"/>
    <w:rsid w:val="6D476879"/>
    <w:rsid w:val="6D4A46BB"/>
    <w:rsid w:val="6D5201F9"/>
    <w:rsid w:val="6D622565"/>
    <w:rsid w:val="6D9042B1"/>
    <w:rsid w:val="6D971367"/>
    <w:rsid w:val="6DA83AFA"/>
    <w:rsid w:val="6DA840C3"/>
    <w:rsid w:val="6DB27A3B"/>
    <w:rsid w:val="6DCA545B"/>
    <w:rsid w:val="6DE14724"/>
    <w:rsid w:val="6E082CAB"/>
    <w:rsid w:val="6E194DD5"/>
    <w:rsid w:val="6E2C7792"/>
    <w:rsid w:val="6E45635D"/>
    <w:rsid w:val="6E6B0590"/>
    <w:rsid w:val="6E7B7566"/>
    <w:rsid w:val="6E924DE8"/>
    <w:rsid w:val="6EA364E9"/>
    <w:rsid w:val="6EAD5420"/>
    <w:rsid w:val="6EB1034A"/>
    <w:rsid w:val="6EB46043"/>
    <w:rsid w:val="6ECE6828"/>
    <w:rsid w:val="6ED13EA2"/>
    <w:rsid w:val="6ED6172E"/>
    <w:rsid w:val="6F001C47"/>
    <w:rsid w:val="6F20670D"/>
    <w:rsid w:val="6F206E8C"/>
    <w:rsid w:val="6F33620A"/>
    <w:rsid w:val="6F420969"/>
    <w:rsid w:val="6F4259AD"/>
    <w:rsid w:val="6F590C2D"/>
    <w:rsid w:val="6F5C7892"/>
    <w:rsid w:val="6F5D1E28"/>
    <w:rsid w:val="6F7655C4"/>
    <w:rsid w:val="6F7800FE"/>
    <w:rsid w:val="6F7B7959"/>
    <w:rsid w:val="6F862A2D"/>
    <w:rsid w:val="6FA4640B"/>
    <w:rsid w:val="6FCF438D"/>
    <w:rsid w:val="6FD05AFF"/>
    <w:rsid w:val="6FD37BAC"/>
    <w:rsid w:val="6FD82DA3"/>
    <w:rsid w:val="6FEE7430"/>
    <w:rsid w:val="6FF165BF"/>
    <w:rsid w:val="6FFE7E49"/>
    <w:rsid w:val="704165E1"/>
    <w:rsid w:val="70460DD2"/>
    <w:rsid w:val="704F5B2D"/>
    <w:rsid w:val="7069467B"/>
    <w:rsid w:val="70733F53"/>
    <w:rsid w:val="707A1CF5"/>
    <w:rsid w:val="708556B8"/>
    <w:rsid w:val="708639A7"/>
    <w:rsid w:val="708E6429"/>
    <w:rsid w:val="70E153DB"/>
    <w:rsid w:val="70E43FBF"/>
    <w:rsid w:val="70EB0325"/>
    <w:rsid w:val="71185FE1"/>
    <w:rsid w:val="71294C5D"/>
    <w:rsid w:val="712D10E0"/>
    <w:rsid w:val="71422839"/>
    <w:rsid w:val="71515C54"/>
    <w:rsid w:val="717D5C2A"/>
    <w:rsid w:val="7199551E"/>
    <w:rsid w:val="719F79B0"/>
    <w:rsid w:val="71A20F41"/>
    <w:rsid w:val="71A72AF0"/>
    <w:rsid w:val="71B279C0"/>
    <w:rsid w:val="71B905C0"/>
    <w:rsid w:val="71CE5372"/>
    <w:rsid w:val="71E768C2"/>
    <w:rsid w:val="71EE7A69"/>
    <w:rsid w:val="71F00988"/>
    <w:rsid w:val="721E014B"/>
    <w:rsid w:val="723A48A0"/>
    <w:rsid w:val="72403F1F"/>
    <w:rsid w:val="72437F8B"/>
    <w:rsid w:val="72457D96"/>
    <w:rsid w:val="724E5F64"/>
    <w:rsid w:val="724F3A3B"/>
    <w:rsid w:val="72533ED7"/>
    <w:rsid w:val="72630FEF"/>
    <w:rsid w:val="72746733"/>
    <w:rsid w:val="72812842"/>
    <w:rsid w:val="72984DF8"/>
    <w:rsid w:val="72A152A2"/>
    <w:rsid w:val="72BF19B3"/>
    <w:rsid w:val="72D559AD"/>
    <w:rsid w:val="72E30C7F"/>
    <w:rsid w:val="72F94194"/>
    <w:rsid w:val="73043E3F"/>
    <w:rsid w:val="730936E0"/>
    <w:rsid w:val="730971D0"/>
    <w:rsid w:val="731977F3"/>
    <w:rsid w:val="7337769F"/>
    <w:rsid w:val="7338789F"/>
    <w:rsid w:val="733D3E06"/>
    <w:rsid w:val="734A4AE6"/>
    <w:rsid w:val="734A6AA6"/>
    <w:rsid w:val="73586838"/>
    <w:rsid w:val="73595E73"/>
    <w:rsid w:val="73771904"/>
    <w:rsid w:val="73BE4DF5"/>
    <w:rsid w:val="741203C8"/>
    <w:rsid w:val="74242B2D"/>
    <w:rsid w:val="742D6B13"/>
    <w:rsid w:val="7432466D"/>
    <w:rsid w:val="74447D18"/>
    <w:rsid w:val="7446632A"/>
    <w:rsid w:val="74521A5D"/>
    <w:rsid w:val="74563626"/>
    <w:rsid w:val="74697E69"/>
    <w:rsid w:val="747131BB"/>
    <w:rsid w:val="74753105"/>
    <w:rsid w:val="747E1420"/>
    <w:rsid w:val="748549B7"/>
    <w:rsid w:val="748B71DB"/>
    <w:rsid w:val="748C0B99"/>
    <w:rsid w:val="749724B9"/>
    <w:rsid w:val="74B55D10"/>
    <w:rsid w:val="74B70859"/>
    <w:rsid w:val="74F45D75"/>
    <w:rsid w:val="74FF51CE"/>
    <w:rsid w:val="7501267D"/>
    <w:rsid w:val="75073C41"/>
    <w:rsid w:val="75296BD9"/>
    <w:rsid w:val="752F7773"/>
    <w:rsid w:val="756458B1"/>
    <w:rsid w:val="7567025D"/>
    <w:rsid w:val="756D3E86"/>
    <w:rsid w:val="75716D25"/>
    <w:rsid w:val="757875D5"/>
    <w:rsid w:val="75824561"/>
    <w:rsid w:val="759F607C"/>
    <w:rsid w:val="75A7154A"/>
    <w:rsid w:val="75C816B2"/>
    <w:rsid w:val="75CF34C4"/>
    <w:rsid w:val="75EA2A13"/>
    <w:rsid w:val="75EB4A85"/>
    <w:rsid w:val="76020A07"/>
    <w:rsid w:val="76120196"/>
    <w:rsid w:val="76172844"/>
    <w:rsid w:val="762B7071"/>
    <w:rsid w:val="76517ABA"/>
    <w:rsid w:val="76592E52"/>
    <w:rsid w:val="766571C2"/>
    <w:rsid w:val="76674A08"/>
    <w:rsid w:val="766D792A"/>
    <w:rsid w:val="76826371"/>
    <w:rsid w:val="7691363E"/>
    <w:rsid w:val="76926936"/>
    <w:rsid w:val="76A35793"/>
    <w:rsid w:val="76B51078"/>
    <w:rsid w:val="76CA2AA7"/>
    <w:rsid w:val="770C1260"/>
    <w:rsid w:val="771866CA"/>
    <w:rsid w:val="771922C1"/>
    <w:rsid w:val="771E79BF"/>
    <w:rsid w:val="773C4086"/>
    <w:rsid w:val="774C2FF4"/>
    <w:rsid w:val="774E33C8"/>
    <w:rsid w:val="7756677A"/>
    <w:rsid w:val="77601733"/>
    <w:rsid w:val="77633CDF"/>
    <w:rsid w:val="776C3A0B"/>
    <w:rsid w:val="77707E62"/>
    <w:rsid w:val="77764EDB"/>
    <w:rsid w:val="77781C39"/>
    <w:rsid w:val="779D493C"/>
    <w:rsid w:val="77A63161"/>
    <w:rsid w:val="77BD1A4F"/>
    <w:rsid w:val="77DB44AA"/>
    <w:rsid w:val="77DE24AA"/>
    <w:rsid w:val="77F82870"/>
    <w:rsid w:val="780048EE"/>
    <w:rsid w:val="780F16FC"/>
    <w:rsid w:val="781362B2"/>
    <w:rsid w:val="7815400D"/>
    <w:rsid w:val="781E0715"/>
    <w:rsid w:val="78254EE2"/>
    <w:rsid w:val="783249C6"/>
    <w:rsid w:val="78385E42"/>
    <w:rsid w:val="783D276A"/>
    <w:rsid w:val="784B4DD8"/>
    <w:rsid w:val="785822F1"/>
    <w:rsid w:val="78757AB5"/>
    <w:rsid w:val="787F3343"/>
    <w:rsid w:val="78874956"/>
    <w:rsid w:val="788B7386"/>
    <w:rsid w:val="78904985"/>
    <w:rsid w:val="78966694"/>
    <w:rsid w:val="78AB5C43"/>
    <w:rsid w:val="78D50A0E"/>
    <w:rsid w:val="78DE298D"/>
    <w:rsid w:val="78E800B8"/>
    <w:rsid w:val="78F45691"/>
    <w:rsid w:val="78FB3070"/>
    <w:rsid w:val="790B10F2"/>
    <w:rsid w:val="79145815"/>
    <w:rsid w:val="792167EA"/>
    <w:rsid w:val="792E56B4"/>
    <w:rsid w:val="796179EF"/>
    <w:rsid w:val="796D7DE1"/>
    <w:rsid w:val="796F32A2"/>
    <w:rsid w:val="797B307C"/>
    <w:rsid w:val="798177ED"/>
    <w:rsid w:val="79AE5D71"/>
    <w:rsid w:val="79E7763B"/>
    <w:rsid w:val="7A25148A"/>
    <w:rsid w:val="7A301B34"/>
    <w:rsid w:val="7A3D3FD5"/>
    <w:rsid w:val="7A4E520C"/>
    <w:rsid w:val="7A741FB5"/>
    <w:rsid w:val="7A8D1B84"/>
    <w:rsid w:val="7A8D678E"/>
    <w:rsid w:val="7AD81093"/>
    <w:rsid w:val="7AEA7616"/>
    <w:rsid w:val="7B196709"/>
    <w:rsid w:val="7B5F2D56"/>
    <w:rsid w:val="7B646E38"/>
    <w:rsid w:val="7B7457D0"/>
    <w:rsid w:val="7BBB6CBC"/>
    <w:rsid w:val="7BE074DC"/>
    <w:rsid w:val="7BFB51FE"/>
    <w:rsid w:val="7BFE37B9"/>
    <w:rsid w:val="7C000401"/>
    <w:rsid w:val="7C0B677A"/>
    <w:rsid w:val="7C0F06D6"/>
    <w:rsid w:val="7C1D0E9C"/>
    <w:rsid w:val="7C2D6263"/>
    <w:rsid w:val="7C376A3B"/>
    <w:rsid w:val="7C417552"/>
    <w:rsid w:val="7C476872"/>
    <w:rsid w:val="7C515881"/>
    <w:rsid w:val="7C866EFE"/>
    <w:rsid w:val="7C940282"/>
    <w:rsid w:val="7CBF2600"/>
    <w:rsid w:val="7CD640A2"/>
    <w:rsid w:val="7CDA0EE7"/>
    <w:rsid w:val="7CEE1FD3"/>
    <w:rsid w:val="7CF9134A"/>
    <w:rsid w:val="7D062F15"/>
    <w:rsid w:val="7D134390"/>
    <w:rsid w:val="7D1F6BD7"/>
    <w:rsid w:val="7D3533F7"/>
    <w:rsid w:val="7D623BAF"/>
    <w:rsid w:val="7D653516"/>
    <w:rsid w:val="7D6C0E17"/>
    <w:rsid w:val="7D9112D6"/>
    <w:rsid w:val="7D9A5180"/>
    <w:rsid w:val="7DB5670D"/>
    <w:rsid w:val="7DBA7854"/>
    <w:rsid w:val="7DF43174"/>
    <w:rsid w:val="7E016B5F"/>
    <w:rsid w:val="7E0F51A9"/>
    <w:rsid w:val="7E1352BE"/>
    <w:rsid w:val="7E1E7508"/>
    <w:rsid w:val="7E2257AD"/>
    <w:rsid w:val="7E3C434B"/>
    <w:rsid w:val="7E427C80"/>
    <w:rsid w:val="7E456679"/>
    <w:rsid w:val="7E471022"/>
    <w:rsid w:val="7E545CE0"/>
    <w:rsid w:val="7E62219A"/>
    <w:rsid w:val="7E6D0391"/>
    <w:rsid w:val="7E7E4B34"/>
    <w:rsid w:val="7E885133"/>
    <w:rsid w:val="7E8D663F"/>
    <w:rsid w:val="7E9115EF"/>
    <w:rsid w:val="7E941A99"/>
    <w:rsid w:val="7ED30C0C"/>
    <w:rsid w:val="7EF127D4"/>
    <w:rsid w:val="7F005EF6"/>
    <w:rsid w:val="7F25635B"/>
    <w:rsid w:val="7F257EA7"/>
    <w:rsid w:val="7F266433"/>
    <w:rsid w:val="7F3C0A6B"/>
    <w:rsid w:val="7F3D7AF6"/>
    <w:rsid w:val="7F3F79E5"/>
    <w:rsid w:val="7F4245BE"/>
    <w:rsid w:val="7F5E340E"/>
    <w:rsid w:val="7F7C4195"/>
    <w:rsid w:val="7F902275"/>
    <w:rsid w:val="7FA0420F"/>
    <w:rsid w:val="7FA80B96"/>
    <w:rsid w:val="7FAA2964"/>
    <w:rsid w:val="7FBD5C2A"/>
    <w:rsid w:val="7FC13DA6"/>
    <w:rsid w:val="7FD33CBE"/>
    <w:rsid w:val="7FEB0680"/>
    <w:rsid w:val="7FFA184F"/>
    <w:rsid w:val="7FFF0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24"/>
      <w:lang w:val="en-US" w:eastAsia="zh-CN" w:bidi="ar-SA"/>
    </w:rPr>
  </w:style>
  <w:style w:type="paragraph" w:styleId="3">
    <w:name w:val="heading 1"/>
    <w:basedOn w:val="1"/>
    <w:next w:val="1"/>
    <w:qFormat/>
    <w:uiPriority w:val="0"/>
    <w:pPr>
      <w:keepNext/>
      <w:tabs>
        <w:tab w:val="left" w:pos="3360"/>
      </w:tabs>
      <w:snapToGrid w:val="0"/>
      <w:spacing w:beforeLines="50" w:afterLines="50" w:line="800" w:lineRule="atLeast"/>
      <w:jc w:val="center"/>
      <w:outlineLvl w:val="0"/>
    </w:pPr>
    <w:rPr>
      <w:rFonts w:eastAsia="方正小标宋简体"/>
      <w:sz w:val="44"/>
    </w:rPr>
  </w:style>
  <w:style w:type="paragraph" w:styleId="4">
    <w:name w:val="heading 2"/>
    <w:basedOn w:val="1"/>
    <w:next w:val="1"/>
    <w:link w:val="37"/>
    <w:qFormat/>
    <w:uiPriority w:val="0"/>
    <w:pPr>
      <w:keepNext/>
      <w:keepLines/>
      <w:adjustRightInd w:val="0"/>
      <w:snapToGrid w:val="0"/>
      <w:ind w:firstLine="200" w:firstLineChars="200"/>
      <w:jc w:val="left"/>
      <w:outlineLvl w:val="1"/>
    </w:pPr>
    <w:rPr>
      <w:rFonts w:ascii="宋体" w:hAnsi="宋体"/>
      <w:b/>
      <w:color w:val="943734"/>
      <w:kern w:val="0"/>
      <w:sz w:val="28"/>
    </w:rPr>
  </w:style>
  <w:style w:type="paragraph" w:styleId="5">
    <w:name w:val="heading 3"/>
    <w:basedOn w:val="1"/>
    <w:next w:val="1"/>
    <w:qFormat/>
    <w:uiPriority w:val="0"/>
    <w:pPr>
      <w:keepNext/>
      <w:keepLines/>
      <w:spacing w:line="560" w:lineRule="exact"/>
      <w:outlineLvl w:val="2"/>
    </w:pPr>
    <w:rPr>
      <w:rFonts w:eastAsia="方正楷体_GBK"/>
      <w:b/>
      <w:bCs/>
      <w:szCs w:val="32"/>
    </w:rPr>
  </w:style>
  <w:style w:type="character" w:default="1" w:styleId="26">
    <w:name w:val="Default Paragraph Font"/>
    <w:unhideWhenUsed/>
    <w:qFormat/>
    <w:uiPriority w:val="1"/>
  </w:style>
  <w:style w:type="table" w:default="1" w:styleId="2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39"/>
    <w:qFormat/>
    <w:uiPriority w:val="0"/>
  </w:style>
  <w:style w:type="paragraph" w:styleId="6">
    <w:name w:val="annotation text"/>
    <w:basedOn w:val="1"/>
    <w:next w:val="7"/>
    <w:qFormat/>
    <w:uiPriority w:val="0"/>
    <w:pPr>
      <w:jc w:val="left"/>
    </w:pPr>
  </w:style>
  <w:style w:type="paragraph" w:styleId="7">
    <w:name w:val="annotation subject"/>
    <w:next w:val="6"/>
    <w:qFormat/>
    <w:uiPriority w:val="0"/>
    <w:pPr>
      <w:widowControl w:val="0"/>
    </w:pPr>
    <w:rPr>
      <w:rFonts w:ascii="Times New Roman" w:hAnsi="Times New Roman" w:eastAsia="宋体" w:cs="Times New Roman"/>
      <w:b/>
      <w:sz w:val="21"/>
      <w:lang w:val="en-US" w:eastAsia="zh-CN" w:bidi="ar-SA"/>
    </w:rPr>
  </w:style>
  <w:style w:type="paragraph" w:styleId="8">
    <w:name w:val="Body Text Indent"/>
    <w:basedOn w:val="1"/>
    <w:qFormat/>
    <w:uiPriority w:val="0"/>
    <w:pPr>
      <w:spacing w:line="700" w:lineRule="exact"/>
      <w:ind w:left="960"/>
    </w:pPr>
    <w:rPr>
      <w:rFonts w:ascii="Calibri" w:hAnsi="Calibri"/>
      <w:sz w:val="44"/>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 w:val="21"/>
    </w:rPr>
  </w:style>
  <w:style w:type="paragraph" w:styleId="11">
    <w:name w:val="Date"/>
    <w:basedOn w:val="1"/>
    <w:next w:val="1"/>
    <w:qFormat/>
    <w:uiPriority w:val="0"/>
  </w:style>
  <w:style w:type="paragraph" w:styleId="12">
    <w:name w:val="Body Text Indent 2"/>
    <w:basedOn w:val="1"/>
    <w:qFormat/>
    <w:uiPriority w:val="0"/>
    <w:pPr>
      <w:snapToGrid w:val="0"/>
      <w:spacing w:line="560" w:lineRule="atLeast"/>
      <w:ind w:firstLine="540"/>
    </w:pPr>
  </w:style>
  <w:style w:type="paragraph" w:styleId="13">
    <w:name w:val="Balloon Text"/>
    <w:basedOn w:val="1"/>
    <w:link w:val="41"/>
    <w:unhideWhenUsed/>
    <w:qFormat/>
    <w:uiPriority w:val="0"/>
    <w:rPr>
      <w:rFonts w:ascii="Calibri" w:hAnsi="Calibri" w:eastAsia="宋体"/>
      <w:sz w:val="18"/>
      <w:szCs w:val="18"/>
    </w:rPr>
  </w:style>
  <w:style w:type="paragraph" w:styleId="14">
    <w:name w:val="footer"/>
    <w:basedOn w:val="1"/>
    <w:next w:val="15"/>
    <w:qFormat/>
    <w:uiPriority w:val="0"/>
    <w:pPr>
      <w:tabs>
        <w:tab w:val="center" w:pos="4153"/>
        <w:tab w:val="right" w:pos="8306"/>
      </w:tabs>
      <w:snapToGrid w:val="0"/>
      <w:jc w:val="left"/>
    </w:pPr>
    <w:rPr>
      <w:sz w:val="18"/>
    </w:rPr>
  </w:style>
  <w:style w:type="paragraph" w:customStyle="1" w:styleId="15">
    <w:name w:val="索引 51"/>
    <w:basedOn w:val="1"/>
    <w:next w:val="1"/>
    <w:qFormat/>
    <w:uiPriority w:val="99"/>
    <w:pPr>
      <w:ind w:left="1680"/>
    </w:p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jc w:val="left"/>
    </w:pPr>
    <w:rPr>
      <w:b/>
      <w:bCs/>
      <w:caps/>
      <w:sz w:val="20"/>
    </w:rPr>
  </w:style>
  <w:style w:type="paragraph" w:styleId="18">
    <w:name w:val="footnote text"/>
    <w:basedOn w:val="1"/>
    <w:qFormat/>
    <w:uiPriority w:val="0"/>
    <w:pPr>
      <w:snapToGrid w:val="0"/>
      <w:jc w:val="left"/>
    </w:pPr>
    <w:rPr>
      <w:rFonts w:hint="eastAsia" w:ascii="等线" w:hAnsi="等线" w:eastAsia="等线"/>
      <w:sz w:val="18"/>
      <w:szCs w:val="22"/>
    </w:rPr>
  </w:style>
  <w:style w:type="paragraph" w:styleId="19">
    <w:name w:val="toc 2"/>
    <w:basedOn w:val="1"/>
    <w:next w:val="1"/>
    <w:qFormat/>
    <w:uiPriority w:val="39"/>
    <w:pPr>
      <w:ind w:left="420" w:leftChars="200"/>
    </w:pPr>
  </w:style>
  <w:style w:type="paragraph" w:styleId="20">
    <w:name w:val="Normal (Web)"/>
    <w:basedOn w:val="1"/>
    <w:qFormat/>
    <w:uiPriority w:val="0"/>
    <w:pPr>
      <w:widowControl/>
      <w:jc w:val="left"/>
    </w:pPr>
    <w:rPr>
      <w:rFonts w:ascii="宋体" w:hAnsi="宋体" w:cs="宋体"/>
      <w:kern w:val="0"/>
    </w:rPr>
  </w:style>
  <w:style w:type="paragraph" w:styleId="21">
    <w:name w:val="Title"/>
    <w:basedOn w:val="1"/>
    <w:qFormat/>
    <w:uiPriority w:val="0"/>
    <w:pPr>
      <w:widowControl/>
      <w:spacing w:after="240" w:line="360" w:lineRule="auto"/>
      <w:jc w:val="center"/>
    </w:pPr>
    <w:rPr>
      <w:rFonts w:ascii="Arial" w:hAnsi="Arial"/>
      <w:b/>
      <w:smallCaps/>
      <w:kern w:val="28"/>
      <w:sz w:val="36"/>
      <w:szCs w:val="20"/>
      <w:lang w:eastAsia="en-US"/>
    </w:rPr>
  </w:style>
  <w:style w:type="paragraph" w:styleId="22">
    <w:name w:val="Body Text First Indent"/>
    <w:basedOn w:val="2"/>
    <w:qFormat/>
    <w:uiPriority w:val="0"/>
    <w:pPr>
      <w:spacing w:line="360" w:lineRule="auto"/>
      <w:ind w:firstLine="420"/>
    </w:pPr>
    <w:rPr>
      <w:rFonts w:ascii="宋体" w:hAnsi="宋体"/>
    </w:rPr>
  </w:style>
  <w:style w:type="paragraph" w:styleId="23">
    <w:name w:val="Body Text First Indent 2"/>
    <w:basedOn w:val="8"/>
    <w:qFormat/>
    <w:uiPriority w:val="0"/>
    <w:pPr>
      <w:spacing w:line="240" w:lineRule="auto"/>
      <w:ind w:left="420" w:leftChars="200" w:firstLine="420" w:firstLineChars="200"/>
    </w:pPr>
    <w:rPr>
      <w:rFonts w:ascii="Times New Roman" w:hAnsi="Times New Roman"/>
      <w:sz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FollowedHyperlink"/>
    <w:qFormat/>
    <w:uiPriority w:val="0"/>
    <w:rPr>
      <w:color w:val="800080"/>
      <w:u w:val="single"/>
    </w:rPr>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styleId="32">
    <w:name w:val="footnote reference"/>
    <w:qFormat/>
    <w:uiPriority w:val="0"/>
    <w:rPr>
      <w:vertAlign w:val="superscript"/>
    </w:rPr>
  </w:style>
  <w:style w:type="paragraph" w:styleId="3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35">
    <w:name w:val="正文1"/>
    <w:basedOn w:val="1"/>
    <w:next w:val="1"/>
    <w:qFormat/>
    <w:uiPriority w:val="0"/>
    <w:pPr>
      <w:spacing w:line="300" w:lineRule="auto"/>
      <w:ind w:firstLine="200" w:firstLineChars="200"/>
    </w:pPr>
    <w:rPr>
      <w:sz w:val="24"/>
    </w:rPr>
  </w:style>
  <w:style w:type="paragraph" w:customStyle="1" w:styleId="36">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37">
    <w:name w:val="标题 2 Char1"/>
    <w:link w:val="4"/>
    <w:qFormat/>
    <w:uiPriority w:val="0"/>
    <w:rPr>
      <w:rFonts w:ascii="宋体" w:hAnsi="宋体" w:eastAsia="方正仿宋_GBK"/>
      <w:b/>
      <w:color w:val="943734"/>
      <w:sz w:val="28"/>
    </w:rPr>
  </w:style>
  <w:style w:type="character" w:customStyle="1" w:styleId="38">
    <w:name w:val="NormalCharacter"/>
    <w:qFormat/>
    <w:uiPriority w:val="0"/>
    <w:rPr>
      <w:rFonts w:eastAsia="方正仿宋_GBK"/>
      <w:kern w:val="2"/>
      <w:sz w:val="24"/>
      <w:lang w:val="en-US" w:eastAsia="zh-CN" w:bidi="ar-SA"/>
    </w:rPr>
  </w:style>
  <w:style w:type="character" w:customStyle="1" w:styleId="39">
    <w:name w:val="正文文本 Char"/>
    <w:link w:val="2"/>
    <w:qFormat/>
    <w:uiPriority w:val="0"/>
    <w:rPr>
      <w:rFonts w:eastAsia="方正仿宋_GBK"/>
      <w:kern w:val="2"/>
      <w:sz w:val="24"/>
    </w:rPr>
  </w:style>
  <w:style w:type="character" w:customStyle="1" w:styleId="40">
    <w:name w:val="标题 2 Char"/>
    <w:qFormat/>
    <w:uiPriority w:val="0"/>
    <w:rPr>
      <w:rFonts w:ascii="宋体" w:hAnsi="宋体" w:eastAsia="方正仿宋_GBK"/>
      <w:b/>
      <w:sz w:val="28"/>
    </w:rPr>
  </w:style>
  <w:style w:type="character" w:customStyle="1" w:styleId="41">
    <w:name w:val="批注框文本 Char"/>
    <w:link w:val="13"/>
    <w:qFormat/>
    <w:uiPriority w:val="0"/>
    <w:rPr>
      <w:rFonts w:hint="default" w:ascii="Calibri" w:hAnsi="Calibri" w:cs="Calibri"/>
      <w:kern w:val="2"/>
      <w:sz w:val="18"/>
      <w:szCs w:val="18"/>
    </w:rPr>
  </w:style>
  <w:style w:type="character" w:customStyle="1" w:styleId="42">
    <w:name w:val="标题 2 字符"/>
    <w:qFormat/>
    <w:uiPriority w:val="0"/>
    <w:rPr>
      <w:rFonts w:ascii="等线 Light" w:hAnsi="等线 Light" w:eastAsia="等线 Light" w:cs="Times New Roman"/>
      <w:b/>
      <w:kern w:val="2"/>
      <w:sz w:val="32"/>
      <w:szCs w:val="32"/>
    </w:rPr>
  </w:style>
  <w:style w:type="character" w:customStyle="1" w:styleId="43">
    <w:name w:val="正文字 字符"/>
    <w:link w:val="44"/>
    <w:qFormat/>
    <w:uiPriority w:val="0"/>
    <w:rPr>
      <w:rFonts w:ascii="方正仿宋_GBK" w:hAnsi="宋体" w:eastAsia="方正仿宋_GBK"/>
      <w:kern w:val="2"/>
      <w:sz w:val="24"/>
      <w:szCs w:val="24"/>
    </w:rPr>
  </w:style>
  <w:style w:type="paragraph" w:customStyle="1" w:styleId="44">
    <w:name w:val="正文字"/>
    <w:basedOn w:val="1"/>
    <w:link w:val="43"/>
    <w:qFormat/>
    <w:uiPriority w:val="0"/>
    <w:pPr>
      <w:snapToGrid w:val="0"/>
      <w:spacing w:line="400" w:lineRule="exact"/>
      <w:ind w:firstLine="480" w:firstLineChars="200"/>
    </w:pPr>
    <w:rPr>
      <w:rFonts w:ascii="方正仿宋_GBK" w:hAnsi="宋体"/>
      <w:szCs w:val="24"/>
    </w:rPr>
  </w:style>
  <w:style w:type="paragraph" w:customStyle="1" w:styleId="45">
    <w:name w:val="列出段落1"/>
    <w:basedOn w:val="1"/>
    <w:qFormat/>
    <w:uiPriority w:val="99"/>
    <w:pPr>
      <w:ind w:firstLine="420" w:firstLineChars="200"/>
    </w:pPr>
    <w:rPr>
      <w:rFonts w:ascii="Calibri" w:hAnsi="Calibri"/>
      <w:sz w:val="28"/>
    </w:rPr>
  </w:style>
  <w:style w:type="paragraph" w:customStyle="1" w:styleId="46">
    <w:name w:val="正文缩进1"/>
    <w:basedOn w:val="1"/>
    <w:qFormat/>
    <w:uiPriority w:val="0"/>
    <w:pPr>
      <w:ind w:firstLine="420" w:firstLineChars="200"/>
    </w:pPr>
    <w:rPr>
      <w:sz w:val="32"/>
    </w:rPr>
  </w:style>
  <w:style w:type="paragraph" w:customStyle="1" w:styleId="47">
    <w:name w:val="1"/>
    <w:basedOn w:val="1"/>
    <w:next w:val="10"/>
    <w:qFormat/>
    <w:uiPriority w:val="0"/>
    <w:rPr>
      <w:rFonts w:ascii="宋体" w:hAnsi="Courier New"/>
      <w:sz w:val="21"/>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_Style 41"/>
    <w:basedOn w:val="3"/>
    <w:next w:val="1"/>
    <w:qFormat/>
    <w:uiPriority w:val="39"/>
    <w:pPr>
      <w:keepLines/>
      <w:widowControl/>
      <w:tabs>
        <w:tab w:val="clear" w:pos="3360"/>
      </w:tabs>
      <w:snapToGrid/>
      <w:spacing w:beforeLines="0" w:afterLines="0" w:line="259" w:lineRule="auto"/>
      <w:jc w:val="left"/>
      <w:outlineLvl w:val="9"/>
    </w:pPr>
    <w:rPr>
      <w:rFonts w:ascii="Calibri Light" w:hAnsi="Calibri Light" w:eastAsia="宋体"/>
      <w:color w:val="2E74B5"/>
      <w:kern w:val="0"/>
      <w:sz w:val="32"/>
      <w:szCs w:val="32"/>
    </w:rPr>
  </w:style>
  <w:style w:type="paragraph" w:customStyle="1" w:styleId="50">
    <w:name w:val="Other|1"/>
    <w:basedOn w:val="1"/>
    <w:qFormat/>
    <w:uiPriority w:val="0"/>
    <w:pPr>
      <w:spacing w:after="90" w:line="449" w:lineRule="auto"/>
      <w:ind w:firstLine="400"/>
    </w:pPr>
    <w:rPr>
      <w:rFonts w:ascii="宋体" w:hAnsi="宋体" w:cs="宋体"/>
      <w:sz w:val="28"/>
      <w:szCs w:val="28"/>
      <w:lang w:val="zh-TW" w:eastAsia="zh-TW" w:bidi="zh-TW"/>
    </w:rPr>
  </w:style>
  <w:style w:type="paragraph" w:customStyle="1" w:styleId="51">
    <w:name w:val="Heading1"/>
    <w:basedOn w:val="1"/>
    <w:next w:val="1"/>
    <w:qFormat/>
    <w:uiPriority w:val="0"/>
    <w:pPr>
      <w:keepNext/>
      <w:tabs>
        <w:tab w:val="left" w:pos="3360"/>
      </w:tabs>
      <w:snapToGrid w:val="0"/>
      <w:spacing w:before="312" w:after="156" w:line="800" w:lineRule="atLeast"/>
      <w:jc w:val="center"/>
      <w:textAlignment w:val="baseline"/>
    </w:pPr>
    <w:rPr>
      <w:rFonts w:eastAsia="黑体"/>
      <w:sz w:val="44"/>
    </w:rPr>
  </w:style>
  <w:style w:type="paragraph" w:customStyle="1" w:styleId="5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53">
    <w:name w:val="WPSOffice手动目录 1"/>
    <w:qFormat/>
    <w:uiPriority w:val="0"/>
    <w:rPr>
      <w:rFonts w:ascii="Times New Roman" w:hAnsi="Times New Roman" w:eastAsia="宋体" w:cs="Times New Roman"/>
      <w:lang w:val="en-US" w:eastAsia="zh-CN" w:bidi="ar-SA"/>
    </w:rPr>
  </w:style>
  <w:style w:type="paragraph" w:customStyle="1" w:styleId="54">
    <w:name w:val="图例"/>
    <w:basedOn w:val="1"/>
    <w:qFormat/>
    <w:uiPriority w:val="0"/>
    <w:pPr>
      <w:spacing w:line="360" w:lineRule="auto"/>
      <w:jc w:val="center"/>
    </w:pPr>
    <w:rPr>
      <w:rFonts w:eastAsia="仿宋_GB2312"/>
      <w:b/>
    </w:rPr>
  </w:style>
  <w:style w:type="paragraph" w:customStyle="1" w:styleId="55">
    <w:name w:val="TOC1"/>
    <w:basedOn w:val="1"/>
    <w:next w:val="1"/>
    <w:qFormat/>
    <w:uiPriority w:val="0"/>
    <w:pPr>
      <w:jc w:val="left"/>
      <w:textAlignment w:val="baseline"/>
    </w:pPr>
    <w:rPr>
      <w:b/>
      <w:bCs/>
      <w:caps/>
      <w:sz w:val="20"/>
    </w:rPr>
  </w:style>
  <w:style w:type="paragraph" w:customStyle="1" w:styleId="56">
    <w:name w:val="List Paragraph1"/>
    <w:basedOn w:val="1"/>
    <w:qFormat/>
    <w:uiPriority w:val="0"/>
    <w:pPr>
      <w:ind w:firstLine="420" w:firstLineChars="200"/>
    </w:pPr>
    <w:rPr>
      <w:rFonts w:ascii="Calibri" w:hAnsi="Calibri"/>
      <w:sz w:val="21"/>
    </w:rPr>
  </w:style>
  <w:style w:type="paragraph" w:customStyle="1" w:styleId="5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8">
    <w:name w:val="Table Paragraph"/>
    <w:basedOn w:val="1"/>
    <w:qFormat/>
    <w:uiPriority w:val="1"/>
    <w:rPr>
      <w:rFonts w:ascii="仿宋" w:hAnsi="仿宋" w:eastAsia="仿宋" w:cs="仿宋"/>
      <w:lang w:val="zh-CN" w:bidi="zh-CN"/>
    </w:rPr>
  </w:style>
  <w:style w:type="character" w:customStyle="1" w:styleId="59">
    <w:name w:val="15"/>
    <w:basedOn w:val="26"/>
    <w:qFormat/>
    <w:uiPriority w:val="0"/>
    <w:rPr>
      <w:rFonts w:hint="default" w:ascii="Times New Roman" w:hAnsi="Times New Roman" w:cs="Times New Roman"/>
    </w:rPr>
  </w:style>
  <w:style w:type="character" w:customStyle="1" w:styleId="60">
    <w:name w:val="10"/>
    <w:basedOn w:val="2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4010</Words>
  <Characters>22857</Characters>
  <Lines>1</Lines>
  <Paragraphs>1</Paragraphs>
  <TotalTime>85</TotalTime>
  <ScaleCrop>false</ScaleCrop>
  <LinksUpToDate>false</LinksUpToDate>
  <CharactersWithSpaces>26814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2022-07-06T07:39:00Z</dcterms:created>
  <dc:creator>Administrator</dc:creator>
  <cp:lastModifiedBy>吴衡1</cp:lastModifiedBy>
  <cp:lastPrinted>2022-04-14T10:06:00Z</cp:lastPrinted>
  <dcterms:modified xsi:type="dcterms:W3CDTF">2024-04-24T07:26:37Z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574B131FFD224DD29CEEEA3FB090EE13</vt:lpwstr>
  </property>
</Properties>
</file>